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7684" w14:textId="0211BCCD" w:rsidR="00F65F65" w:rsidRPr="00854D4F" w:rsidRDefault="00F65F65" w:rsidP="00F65F65">
      <w:pPr>
        <w:spacing w:after="0"/>
        <w:jc w:val="center"/>
        <w:rPr>
          <w:b/>
          <w:sz w:val="36"/>
          <w:szCs w:val="36"/>
        </w:rPr>
      </w:pPr>
      <w:bookmarkStart w:id="0" w:name="_GoBack"/>
      <w:bookmarkEnd w:id="0"/>
      <w:r w:rsidRPr="00854D4F">
        <w:rPr>
          <w:rFonts w:ascii="Garamond" w:hAnsi="Garamond"/>
          <w:b/>
          <w:bCs/>
          <w:smallCaps/>
          <w:color w:val="000000"/>
          <w:sz w:val="36"/>
          <w:szCs w:val="36"/>
        </w:rPr>
        <w:t xml:space="preserve">LLU </w:t>
      </w:r>
      <w:r>
        <w:rPr>
          <w:rFonts w:ascii="Garamond" w:hAnsi="Garamond"/>
          <w:b/>
          <w:smallCaps/>
          <w:color w:val="000000"/>
          <w:sz w:val="36"/>
          <w:szCs w:val="36"/>
        </w:rPr>
        <w:t>Institutional</w:t>
      </w:r>
      <w:r w:rsidRPr="00854D4F">
        <w:rPr>
          <w:rFonts w:ascii="Garamond" w:hAnsi="Garamond"/>
          <w:b/>
          <w:smallCaps/>
          <w:color w:val="000000"/>
          <w:sz w:val="36"/>
          <w:szCs w:val="36"/>
        </w:rPr>
        <w:t xml:space="preserve"> Learning Outcome</w:t>
      </w:r>
      <w:r w:rsidRPr="00854D4F">
        <w:rPr>
          <w:rFonts w:ascii="Garamond" w:hAnsi="Garamond"/>
          <w:b/>
          <w:sz w:val="36"/>
          <w:szCs w:val="36"/>
        </w:rPr>
        <w:t>:</w:t>
      </w:r>
      <w:r w:rsidRPr="00854D4F">
        <w:rPr>
          <w:b/>
          <w:sz w:val="36"/>
          <w:szCs w:val="36"/>
        </w:rPr>
        <w:t xml:space="preserve"> </w:t>
      </w:r>
      <w:r>
        <w:rPr>
          <w:rFonts w:ascii="Garamond" w:hAnsi="Garamond"/>
          <w:b/>
          <w:smallCaps/>
          <w:color w:val="000000"/>
          <w:sz w:val="36"/>
          <w:szCs w:val="36"/>
        </w:rPr>
        <w:t>Oral</w:t>
      </w:r>
      <w:r w:rsidRPr="00854D4F">
        <w:rPr>
          <w:rFonts w:ascii="Garamond" w:hAnsi="Garamond"/>
          <w:b/>
          <w:bCs/>
          <w:smallCaps/>
          <w:sz w:val="36"/>
          <w:szCs w:val="36"/>
        </w:rPr>
        <w:t xml:space="preserve"> </w:t>
      </w:r>
      <w:r w:rsidRPr="00854D4F">
        <w:rPr>
          <w:rFonts w:ascii="Garamond" w:hAnsi="Garamond"/>
          <w:b/>
          <w:smallCaps/>
          <w:color w:val="000000"/>
          <w:sz w:val="36"/>
          <w:szCs w:val="36"/>
        </w:rPr>
        <w:t>Communication</w:t>
      </w:r>
      <w:r w:rsidRPr="00854D4F">
        <w:rPr>
          <w:rFonts w:ascii="Garamond" w:hAnsi="Garamond"/>
          <w:b/>
          <w:bCs/>
          <w:smallCaps/>
          <w:sz w:val="36"/>
          <w:szCs w:val="36"/>
        </w:rPr>
        <w:t xml:space="preserve"> </w:t>
      </w:r>
      <w:r w:rsidRPr="00854D4F">
        <w:rPr>
          <w:rFonts w:ascii="Garamond" w:hAnsi="Garamond"/>
          <w:b/>
          <w:smallCaps/>
          <w:color w:val="000000"/>
          <w:sz w:val="36"/>
          <w:szCs w:val="36"/>
        </w:rPr>
        <w:t>Rubric</w:t>
      </w:r>
    </w:p>
    <w:p w14:paraId="3F37A123" w14:textId="77777777" w:rsidR="00F65F65" w:rsidRPr="00141B10" w:rsidRDefault="00F65F65" w:rsidP="00F65F65">
      <w:pPr>
        <w:spacing w:after="0"/>
        <w:jc w:val="center"/>
        <w:rPr>
          <w:i/>
          <w:sz w:val="16"/>
        </w:rPr>
      </w:pPr>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8" w:history="1">
        <w:r w:rsidRPr="00DD0AF5">
          <w:rPr>
            <w:rStyle w:val="Hyperlink"/>
            <w:i/>
            <w:sz w:val="16"/>
          </w:rPr>
          <w:t>value@aacu.org</w:t>
        </w:r>
      </w:hyperlink>
      <w:r>
        <w:rPr>
          <w:i/>
          <w:sz w:val="16"/>
        </w:rPr>
        <w:t xml:space="preserve">, </w:t>
      </w:r>
      <w:hyperlink r:id="rId9" w:history="1">
        <w:r w:rsidRPr="00DD0AF5">
          <w:rPr>
            <w:rStyle w:val="Hyperlink"/>
            <w:i/>
            <w:sz w:val="16"/>
          </w:rPr>
          <w:t>assessment@llu.edu</w:t>
        </w:r>
      </w:hyperlink>
      <w:r>
        <w:rPr>
          <w:i/>
          <w:sz w:val="16"/>
        </w:rPr>
        <w:t>, or see sites below</w:t>
      </w:r>
      <w:r>
        <w:rPr>
          <w:rStyle w:val="FootnoteReference"/>
          <w:i/>
          <w:sz w:val="16"/>
        </w:rPr>
        <w:footnoteReference w:id="1"/>
      </w:r>
      <w:r>
        <w:rPr>
          <w:i/>
          <w:sz w:val="16"/>
        </w:rPr>
        <w:t>.</w:t>
      </w:r>
    </w:p>
    <w:p w14:paraId="0603159B" w14:textId="625EAFBB" w:rsidR="001B2EBF" w:rsidRDefault="001B2EBF" w:rsidP="001B2EBF">
      <w:pPr>
        <w:spacing w:after="0"/>
        <w:jc w:val="center"/>
        <w:rPr>
          <w:i/>
          <w:sz w:val="16"/>
        </w:rPr>
      </w:pPr>
    </w:p>
    <w:p w14:paraId="3F609AEC" w14:textId="77777777" w:rsidR="003806BD" w:rsidRPr="001B2EBF" w:rsidRDefault="003806BD" w:rsidP="001B2EBF">
      <w:pPr>
        <w:spacing w:after="0"/>
        <w:jc w:val="center"/>
        <w:rPr>
          <w:i/>
          <w:sz w:val="16"/>
        </w:rPr>
      </w:pPr>
    </w:p>
    <w:p w14:paraId="782431BD" w14:textId="77777777" w:rsidR="00E030FD" w:rsidRPr="00F20A0E" w:rsidRDefault="00E030FD" w:rsidP="00E030FD">
      <w:pPr>
        <w:spacing w:after="0"/>
        <w:rPr>
          <w:sz w:val="18"/>
        </w:rPr>
      </w:pPr>
      <w:r w:rsidRPr="00F20A0E">
        <w:rPr>
          <w:sz w:val="18"/>
        </w:rPr>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w:t>
      </w:r>
      <w:r>
        <w:rPr>
          <w:sz w:val="18"/>
        </w:rPr>
        <w:t>teria for each learning outcome</w:t>
      </w:r>
      <w:r w:rsidRPr="00F20A0E">
        <w:rPr>
          <w:sz w:val="18"/>
        </w:rPr>
        <w:t>, with performance descriptors demonstrating progressively more sophisticated levels of attainment. The rubrics</w:t>
      </w:r>
      <w:r>
        <w:rPr>
          <w:sz w:val="18"/>
        </w:rPr>
        <w:t xml:space="preserve"> are intended for institutional</w:t>
      </w:r>
      <w:r w:rsidRPr="00F20A0E">
        <w:rPr>
          <w:sz w:val="18"/>
        </w:rPr>
        <w:t>-level use in evaluating and discussing student learning</w:t>
      </w:r>
      <w:r>
        <w:rPr>
          <w:sz w:val="18"/>
        </w:rPr>
        <w:t>,</w:t>
      </w:r>
      <w:r w:rsidRPr="00F20A0E">
        <w:rPr>
          <w:sz w:val="18"/>
        </w:rPr>
        <w:t xml:space="preserve"> not for grading. The core expectations articulated in all 15 of the VALUE rubrics can and should be translated into </w:t>
      </w:r>
      <w:r>
        <w:rPr>
          <w:sz w:val="18"/>
        </w:rPr>
        <w:t>the language o</w:t>
      </w:r>
      <w:r w:rsidRPr="00F20A0E">
        <w:rPr>
          <w:sz w:val="18"/>
        </w:rPr>
        <w:t>f individual campuses, disciplines, and even courses. The utility of the VALUE rubrics is to position learning at all undergraduate levels within a basic framework of expectations such that evidence of learning can be shared nationally through a common dialog and understanding of student success.</w:t>
      </w:r>
    </w:p>
    <w:p w14:paraId="1F950FFB" w14:textId="77777777" w:rsidR="003806BD" w:rsidRPr="003806BD" w:rsidRDefault="003806BD" w:rsidP="003806BD">
      <w:pPr>
        <w:spacing w:after="0"/>
        <w:rPr>
          <w:sz w:val="18"/>
        </w:rPr>
      </w:pPr>
    </w:p>
    <w:p w14:paraId="3492CE73" w14:textId="77777777" w:rsidR="003806BD" w:rsidRPr="003806BD" w:rsidRDefault="003806BD" w:rsidP="003806BD">
      <w:pPr>
        <w:spacing w:after="0"/>
        <w:rPr>
          <w:i/>
          <w:sz w:val="18"/>
        </w:rPr>
      </w:pPr>
      <w:r w:rsidRPr="003806BD">
        <w:rPr>
          <w:i/>
          <w:sz w:val="18"/>
        </w:rPr>
        <w:t>The type of oral communication most likely to be included in a collection of student work is an oral presentation and therefore is the focus for the application of this rubric.</w:t>
      </w:r>
    </w:p>
    <w:p w14:paraId="7F06E971" w14:textId="77777777" w:rsidR="003806BD" w:rsidRPr="003806BD" w:rsidRDefault="003806BD" w:rsidP="003806BD">
      <w:pPr>
        <w:spacing w:after="0"/>
        <w:rPr>
          <w:sz w:val="18"/>
        </w:rPr>
      </w:pPr>
    </w:p>
    <w:p w14:paraId="473681D2" w14:textId="77777777" w:rsidR="003806BD" w:rsidRDefault="003806BD" w:rsidP="003806BD">
      <w:pPr>
        <w:spacing w:after="0"/>
        <w:jc w:val="center"/>
        <w:rPr>
          <w:b/>
          <w:sz w:val="18"/>
        </w:rPr>
      </w:pPr>
      <w:r w:rsidRPr="003806BD">
        <w:rPr>
          <w:b/>
          <w:sz w:val="18"/>
        </w:rPr>
        <w:t>Definition</w:t>
      </w:r>
    </w:p>
    <w:p w14:paraId="111F332D" w14:textId="77777777" w:rsidR="00CC1535" w:rsidRDefault="00CC1535" w:rsidP="003806BD">
      <w:pPr>
        <w:spacing w:after="0"/>
        <w:rPr>
          <w:sz w:val="18"/>
        </w:rPr>
      </w:pPr>
      <w:r>
        <w:rPr>
          <w:sz w:val="18"/>
        </w:rPr>
        <w:t>Oral communication is a prepared, purposeful presentation designed to increase knowledge to foster understanding, or to promote chang</w:t>
      </w:r>
      <w:r w:rsidR="00BE4543">
        <w:rPr>
          <w:sz w:val="18"/>
        </w:rPr>
        <w:t xml:space="preserve">e in the listeners’ attitudes, </w:t>
      </w:r>
      <w:r>
        <w:rPr>
          <w:sz w:val="18"/>
        </w:rPr>
        <w:t>values, beliefs, or behaviors.</w:t>
      </w:r>
    </w:p>
    <w:p w14:paraId="74FB0FAC" w14:textId="77777777" w:rsidR="00CC1535" w:rsidRDefault="00CC1535" w:rsidP="003806BD">
      <w:pPr>
        <w:spacing w:after="0"/>
        <w:rPr>
          <w:sz w:val="18"/>
        </w:rPr>
      </w:pPr>
    </w:p>
    <w:p w14:paraId="5E9540E1" w14:textId="77777777" w:rsidR="00CC1535" w:rsidRPr="00CC1535" w:rsidRDefault="00CC1535" w:rsidP="00CC1535">
      <w:pPr>
        <w:spacing w:after="0"/>
        <w:jc w:val="center"/>
        <w:rPr>
          <w:b/>
          <w:sz w:val="18"/>
        </w:rPr>
      </w:pPr>
      <w:r w:rsidRPr="00CC1535">
        <w:rPr>
          <w:b/>
          <w:sz w:val="18"/>
        </w:rPr>
        <w:t>Framing Language</w:t>
      </w:r>
    </w:p>
    <w:p w14:paraId="1EE6DA45" w14:textId="77777777" w:rsidR="00CC1535" w:rsidRDefault="00CC1535" w:rsidP="003806BD">
      <w:pPr>
        <w:spacing w:after="0"/>
        <w:rPr>
          <w:sz w:val="18"/>
        </w:rPr>
      </w:pPr>
      <w:r>
        <w:rPr>
          <w:sz w:val="18"/>
        </w:rPr>
        <w:t>Oral communication takes many forms. This rubric is specifically designed to evaluate oral presentation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14:paraId="19505D70" w14:textId="77777777" w:rsidR="009944F6" w:rsidRDefault="009944F6" w:rsidP="003806BD">
      <w:pPr>
        <w:spacing w:after="0"/>
        <w:rPr>
          <w:sz w:val="18"/>
        </w:rPr>
      </w:pPr>
    </w:p>
    <w:p w14:paraId="3B1D5965" w14:textId="77777777" w:rsidR="009944F6" w:rsidRPr="009944F6" w:rsidRDefault="009944F6" w:rsidP="009944F6">
      <w:pPr>
        <w:spacing w:after="0"/>
        <w:jc w:val="center"/>
        <w:rPr>
          <w:b/>
          <w:sz w:val="18"/>
        </w:rPr>
      </w:pPr>
      <w:r w:rsidRPr="009944F6">
        <w:rPr>
          <w:b/>
          <w:sz w:val="18"/>
        </w:rPr>
        <w:t>Glossary</w:t>
      </w:r>
    </w:p>
    <w:p w14:paraId="6FFB4B02" w14:textId="77777777" w:rsidR="009944F6" w:rsidRPr="009944F6" w:rsidRDefault="009944F6" w:rsidP="009944F6">
      <w:pPr>
        <w:spacing w:after="0"/>
        <w:jc w:val="center"/>
        <w:rPr>
          <w:i/>
          <w:sz w:val="18"/>
        </w:rPr>
      </w:pPr>
      <w:r w:rsidRPr="009944F6">
        <w:rPr>
          <w:i/>
          <w:sz w:val="18"/>
        </w:rPr>
        <w:t>The definitions that follow were developed to clarify terms and concepts used in this rubric only.</w:t>
      </w:r>
    </w:p>
    <w:p w14:paraId="16798B55" w14:textId="77777777" w:rsidR="00CC1535" w:rsidRDefault="00CC1535" w:rsidP="003806BD">
      <w:pPr>
        <w:spacing w:after="0"/>
        <w:rPr>
          <w:sz w:val="18"/>
        </w:rPr>
      </w:pPr>
    </w:p>
    <w:p w14:paraId="4FE2FC3E" w14:textId="77777777" w:rsidR="00715BFF" w:rsidRDefault="00715BFF" w:rsidP="009944F6">
      <w:pPr>
        <w:pStyle w:val="ListParagraph"/>
        <w:numPr>
          <w:ilvl w:val="0"/>
          <w:numId w:val="2"/>
        </w:numPr>
        <w:spacing w:after="0"/>
        <w:rPr>
          <w:sz w:val="18"/>
        </w:rPr>
      </w:pPr>
      <w:r w:rsidRPr="00F240E0">
        <w:rPr>
          <w:b/>
          <w:sz w:val="18"/>
        </w:rPr>
        <w:t>Central message</w:t>
      </w:r>
      <w:r>
        <w:rPr>
          <w:sz w:val="18"/>
        </w:rPr>
        <w:t>: The m</w:t>
      </w:r>
      <w:r w:rsidR="00BE4543">
        <w:rPr>
          <w:sz w:val="18"/>
        </w:rPr>
        <w:t>ain point/thesis/“</w:t>
      </w:r>
      <w:r w:rsidR="00441EE3">
        <w:rPr>
          <w:sz w:val="18"/>
        </w:rPr>
        <w:t>bottom line”/</w:t>
      </w:r>
      <w:r>
        <w:rPr>
          <w:sz w:val="18"/>
        </w:rPr>
        <w:t>“take away” of a presentation. A clear central message is easy to identify; a compelling central message is also vivid and memorable.</w:t>
      </w:r>
    </w:p>
    <w:p w14:paraId="51F3B17C" w14:textId="77777777" w:rsidR="00715BFF" w:rsidRDefault="00715BFF" w:rsidP="009944F6">
      <w:pPr>
        <w:pStyle w:val="ListParagraph"/>
        <w:numPr>
          <w:ilvl w:val="0"/>
          <w:numId w:val="2"/>
        </w:numPr>
        <w:spacing w:after="0"/>
        <w:rPr>
          <w:sz w:val="18"/>
        </w:rPr>
      </w:pPr>
      <w:r w:rsidRPr="00F240E0">
        <w:rPr>
          <w:b/>
          <w:sz w:val="18"/>
        </w:rPr>
        <w:t>Delivery techniques</w:t>
      </w:r>
      <w:r>
        <w:rPr>
          <w:sz w:val="18"/>
        </w:rPr>
        <w:t xml:space="preserve">: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w:t>
      </w:r>
      <w:r w:rsidR="00BE4543">
        <w:rPr>
          <w:sz w:val="18"/>
        </w:rPr>
        <w:t>“</w:t>
      </w:r>
      <w:r>
        <w:rPr>
          <w:sz w:val="18"/>
        </w:rPr>
        <w:t>like,” “you know,” etc.).</w:t>
      </w:r>
    </w:p>
    <w:p w14:paraId="0CECCF85" w14:textId="77777777" w:rsidR="00715BFF" w:rsidRDefault="00715BFF" w:rsidP="009944F6">
      <w:pPr>
        <w:pStyle w:val="ListParagraph"/>
        <w:numPr>
          <w:ilvl w:val="0"/>
          <w:numId w:val="2"/>
        </w:numPr>
        <w:spacing w:after="0"/>
        <w:rPr>
          <w:sz w:val="18"/>
        </w:rPr>
      </w:pPr>
      <w:r w:rsidRPr="00F240E0">
        <w:rPr>
          <w:b/>
          <w:sz w:val="18"/>
        </w:rPr>
        <w:t>Language</w:t>
      </w:r>
      <w:r>
        <w:rPr>
          <w:sz w:val="18"/>
        </w:rPr>
        <w:t xml:space="preserve">: Vocabulary, terminology, and sentence structure. Language that supports the effectiveness of a presentation is appropriate to the topic and audience, grammatical, clear, and free from bias. Language that enhances the effectiveness of a </w:t>
      </w:r>
      <w:r w:rsidR="00C53339">
        <w:rPr>
          <w:sz w:val="18"/>
        </w:rPr>
        <w:t>presentation</w:t>
      </w:r>
      <w:r>
        <w:rPr>
          <w:sz w:val="18"/>
        </w:rPr>
        <w:t xml:space="preserve"> is also vivid, imaginative, and expressive.</w:t>
      </w:r>
    </w:p>
    <w:p w14:paraId="73E1E340" w14:textId="77777777" w:rsidR="00C53339" w:rsidRDefault="00C53339" w:rsidP="009944F6">
      <w:pPr>
        <w:pStyle w:val="ListParagraph"/>
        <w:numPr>
          <w:ilvl w:val="0"/>
          <w:numId w:val="2"/>
        </w:numPr>
        <w:spacing w:after="0"/>
        <w:rPr>
          <w:sz w:val="18"/>
        </w:rPr>
      </w:pPr>
      <w:r w:rsidRPr="00F240E0">
        <w:rPr>
          <w:b/>
          <w:sz w:val="18"/>
        </w:rPr>
        <w:t>Organization</w:t>
      </w:r>
      <w:r w:rsidR="00715BFF">
        <w:rPr>
          <w:sz w:val="18"/>
        </w:rPr>
        <w:t xml:space="preserve">: The grouping and sequencing of ideas and supporting material in a presentation. An organizational pattern that supports the effectiveness of a presentation </w:t>
      </w:r>
      <w:r>
        <w:rPr>
          <w:sz w:val="18"/>
        </w:rPr>
        <w:t>typically</w:t>
      </w:r>
      <w:r w:rsidR="00715BFF">
        <w:rPr>
          <w:sz w:val="18"/>
        </w:rPr>
        <w:t xml:space="preserve"> includes an introduction, one or more identifiable sections in the body of the speech, and a conclusion. An organizational pattern that enhances the effectiveness of the presentation reflects a </w:t>
      </w:r>
      <w:r>
        <w:rPr>
          <w:sz w:val="18"/>
        </w:rPr>
        <w:t>purposeful choice among possible alternatives, such as a chronological pattern, a problem-solution pattern, an analysis-of-parts pattern, etc., that makes the content of the presentation easier to follow and more likely to accomplish its purpose.</w:t>
      </w:r>
    </w:p>
    <w:p w14:paraId="3BD80875" w14:textId="77777777" w:rsidR="00DA2189" w:rsidRDefault="00C53339" w:rsidP="009944F6">
      <w:pPr>
        <w:pStyle w:val="ListParagraph"/>
        <w:numPr>
          <w:ilvl w:val="0"/>
          <w:numId w:val="2"/>
        </w:numPr>
        <w:spacing w:after="0"/>
        <w:rPr>
          <w:sz w:val="18"/>
        </w:rPr>
      </w:pPr>
      <w:r w:rsidRPr="00F240E0">
        <w:rPr>
          <w:b/>
          <w:sz w:val="18"/>
        </w:rPr>
        <w:t>Supporting material</w:t>
      </w:r>
      <w:r>
        <w:rPr>
          <w:sz w:val="18"/>
        </w:rPr>
        <w:t>: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w:t>
      </w:r>
      <w:r w:rsidR="00813A57">
        <w:rPr>
          <w:sz w:val="18"/>
        </w:rPr>
        <w:t>’</w:t>
      </w:r>
      <w:r>
        <w:rPr>
          <w:sz w:val="18"/>
        </w:rPr>
        <w:t>s credibility. For example, in presenting a creative work such as a dramatic reading of Shakespeare, supporting evidence may not advance the ideas of Shakespeare, but rather serve to establish the speaker as a credible Shakespearean actor.</w:t>
      </w:r>
    </w:p>
    <w:p w14:paraId="2146A237" w14:textId="77777777" w:rsidR="00E2136E" w:rsidRPr="00854D4F" w:rsidRDefault="00DA2189" w:rsidP="00E2136E">
      <w:pPr>
        <w:spacing w:after="0"/>
        <w:jc w:val="center"/>
        <w:rPr>
          <w:b/>
          <w:sz w:val="36"/>
          <w:szCs w:val="36"/>
        </w:rPr>
      </w:pPr>
      <w:r>
        <w:rPr>
          <w:sz w:val="18"/>
        </w:rPr>
        <w:br w:type="page"/>
      </w:r>
      <w:r w:rsidR="00E2136E" w:rsidRPr="00854D4F">
        <w:rPr>
          <w:rFonts w:ascii="Garamond" w:hAnsi="Garamond"/>
          <w:b/>
          <w:bCs/>
          <w:smallCaps/>
          <w:color w:val="000000"/>
          <w:sz w:val="36"/>
          <w:szCs w:val="36"/>
        </w:rPr>
        <w:lastRenderedPageBreak/>
        <w:t xml:space="preserve">LLU </w:t>
      </w:r>
      <w:r w:rsidR="00E2136E">
        <w:rPr>
          <w:rFonts w:ascii="Garamond" w:hAnsi="Garamond"/>
          <w:b/>
          <w:smallCaps/>
          <w:color w:val="000000"/>
          <w:sz w:val="36"/>
          <w:szCs w:val="36"/>
        </w:rPr>
        <w:t>Institutional</w:t>
      </w:r>
      <w:r w:rsidR="00E2136E" w:rsidRPr="00854D4F">
        <w:rPr>
          <w:rFonts w:ascii="Garamond" w:hAnsi="Garamond"/>
          <w:b/>
          <w:smallCaps/>
          <w:color w:val="000000"/>
          <w:sz w:val="36"/>
          <w:szCs w:val="36"/>
        </w:rPr>
        <w:t xml:space="preserve"> Learning Outcome</w:t>
      </w:r>
      <w:r w:rsidR="00E2136E" w:rsidRPr="00854D4F">
        <w:rPr>
          <w:rFonts w:ascii="Garamond" w:hAnsi="Garamond"/>
          <w:b/>
          <w:sz w:val="36"/>
          <w:szCs w:val="36"/>
        </w:rPr>
        <w:t>:</w:t>
      </w:r>
      <w:r w:rsidR="00E2136E" w:rsidRPr="00854D4F">
        <w:rPr>
          <w:b/>
          <w:sz w:val="36"/>
          <w:szCs w:val="36"/>
        </w:rPr>
        <w:t xml:space="preserve"> </w:t>
      </w:r>
      <w:r w:rsidR="00E2136E">
        <w:rPr>
          <w:rFonts w:ascii="Garamond" w:hAnsi="Garamond"/>
          <w:b/>
          <w:smallCaps/>
          <w:color w:val="000000"/>
          <w:sz w:val="36"/>
          <w:szCs w:val="36"/>
        </w:rPr>
        <w:t>Oral</w:t>
      </w:r>
      <w:r w:rsidR="00E2136E" w:rsidRPr="00854D4F">
        <w:rPr>
          <w:rFonts w:ascii="Garamond" w:hAnsi="Garamond"/>
          <w:b/>
          <w:bCs/>
          <w:smallCaps/>
          <w:sz w:val="36"/>
          <w:szCs w:val="36"/>
        </w:rPr>
        <w:t xml:space="preserve"> </w:t>
      </w:r>
      <w:r w:rsidR="00E2136E" w:rsidRPr="00854D4F">
        <w:rPr>
          <w:rFonts w:ascii="Garamond" w:hAnsi="Garamond"/>
          <w:b/>
          <w:smallCaps/>
          <w:color w:val="000000"/>
          <w:sz w:val="36"/>
          <w:szCs w:val="36"/>
        </w:rPr>
        <w:t>Communication</w:t>
      </w:r>
      <w:r w:rsidR="00E2136E" w:rsidRPr="00854D4F">
        <w:rPr>
          <w:rFonts w:ascii="Garamond" w:hAnsi="Garamond"/>
          <w:b/>
          <w:bCs/>
          <w:smallCaps/>
          <w:sz w:val="36"/>
          <w:szCs w:val="36"/>
        </w:rPr>
        <w:t xml:space="preserve"> </w:t>
      </w:r>
      <w:r w:rsidR="00E2136E" w:rsidRPr="00854D4F">
        <w:rPr>
          <w:rFonts w:ascii="Garamond" w:hAnsi="Garamond"/>
          <w:b/>
          <w:smallCaps/>
          <w:color w:val="000000"/>
          <w:sz w:val="36"/>
          <w:szCs w:val="36"/>
        </w:rPr>
        <w:t>Rubric</w:t>
      </w:r>
    </w:p>
    <w:p w14:paraId="2DC9D785" w14:textId="77777777" w:rsidR="00E2136E" w:rsidRPr="00141B10" w:rsidRDefault="00E2136E" w:rsidP="00E2136E">
      <w:pPr>
        <w:spacing w:after="0"/>
        <w:jc w:val="center"/>
        <w:rPr>
          <w:i/>
          <w:sz w:val="16"/>
        </w:rPr>
      </w:pPr>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10" w:history="1">
        <w:r w:rsidRPr="00DD0AF5">
          <w:rPr>
            <w:rStyle w:val="Hyperlink"/>
            <w:i/>
            <w:sz w:val="16"/>
          </w:rPr>
          <w:t>value@aacu.org</w:t>
        </w:r>
      </w:hyperlink>
      <w:r>
        <w:rPr>
          <w:i/>
          <w:sz w:val="16"/>
        </w:rPr>
        <w:t xml:space="preserve">, </w:t>
      </w:r>
      <w:hyperlink r:id="rId11" w:history="1">
        <w:r w:rsidRPr="00DD0AF5">
          <w:rPr>
            <w:rStyle w:val="Hyperlink"/>
            <w:i/>
            <w:sz w:val="16"/>
          </w:rPr>
          <w:t>assessment@llu.edu</w:t>
        </w:r>
      </w:hyperlink>
      <w:r>
        <w:rPr>
          <w:i/>
          <w:sz w:val="16"/>
        </w:rPr>
        <w:t>, or see sites below</w:t>
      </w:r>
      <w:r>
        <w:rPr>
          <w:rStyle w:val="FootnoteReference"/>
          <w:i/>
          <w:sz w:val="16"/>
        </w:rPr>
        <w:footnoteReference w:id="2"/>
      </w:r>
      <w:r>
        <w:rPr>
          <w:i/>
          <w:sz w:val="16"/>
        </w:rPr>
        <w:t>.</w:t>
      </w:r>
    </w:p>
    <w:p w14:paraId="0CB97D8A" w14:textId="6796DA6E" w:rsidR="00F523B6" w:rsidRDefault="00F523B6" w:rsidP="00E2136E">
      <w:pPr>
        <w:pStyle w:val="Standard"/>
        <w:jc w:val="center"/>
        <w:rPr>
          <w:b/>
          <w:sz w:val="16"/>
        </w:rPr>
      </w:pPr>
    </w:p>
    <w:p w14:paraId="4311CA29" w14:textId="77777777" w:rsidR="00F523B6" w:rsidRPr="00056E47" w:rsidRDefault="00F523B6" w:rsidP="00F523B6">
      <w:pPr>
        <w:spacing w:after="0"/>
        <w:jc w:val="center"/>
        <w:rPr>
          <w:rFonts w:ascii="font350" w:hAnsi="font350" w:cs="font350"/>
          <w:b/>
          <w:sz w:val="16"/>
          <w:szCs w:val="21"/>
        </w:rPr>
      </w:pPr>
      <w:r w:rsidRPr="00056E47">
        <w:rPr>
          <w:b/>
          <w:sz w:val="16"/>
        </w:rPr>
        <w:t>Definition</w:t>
      </w:r>
    </w:p>
    <w:p w14:paraId="1C85551F" w14:textId="77777777" w:rsidR="00F523B6" w:rsidRDefault="00F523B6" w:rsidP="00F523B6">
      <w:pPr>
        <w:spacing w:after="0"/>
        <w:rPr>
          <w:sz w:val="18"/>
        </w:rPr>
      </w:pPr>
      <w:r>
        <w:rPr>
          <w:sz w:val="18"/>
        </w:rPr>
        <w:t>Oral communication is a prepared, purposeful presentation designed to increase knowledge</w:t>
      </w:r>
      <w:r w:rsidR="00813A57">
        <w:rPr>
          <w:sz w:val="18"/>
        </w:rPr>
        <w:t>,</w:t>
      </w:r>
      <w:r>
        <w:rPr>
          <w:sz w:val="18"/>
        </w:rPr>
        <w:t xml:space="preserve"> to foster understanding, or to promote change in the listeners’ attitudes, values, beliefs, or behaviors.</w:t>
      </w:r>
    </w:p>
    <w:p w14:paraId="421F5204" w14:textId="77777777" w:rsidR="00F523B6" w:rsidRPr="00A52DF0" w:rsidRDefault="00F523B6" w:rsidP="00F523B6">
      <w:pPr>
        <w:jc w:val="center"/>
        <w:rPr>
          <w:i/>
          <w:sz w:val="18"/>
        </w:rPr>
      </w:pPr>
      <w:r w:rsidRPr="00A52DF0">
        <w:rPr>
          <w:i/>
          <w:sz w:val="18"/>
        </w:rPr>
        <w:t xml:space="preserve">Evaluators are encouraged to assign a zero to any work sample or collection of work that does not meet </w:t>
      </w:r>
      <w:r w:rsidR="00813A57">
        <w:rPr>
          <w:i/>
          <w:sz w:val="18"/>
        </w:rPr>
        <w:t>level-</w:t>
      </w:r>
      <w:r w:rsidRPr="00A52DF0">
        <w:rPr>
          <w:i/>
          <w:sz w:val="18"/>
        </w:rPr>
        <w:t>one performance.</w:t>
      </w:r>
    </w:p>
    <w:tbl>
      <w:tblPr>
        <w:tblStyle w:val="TableGrid"/>
        <w:tblW w:w="5000" w:type="pct"/>
        <w:tblLook w:val="00A0" w:firstRow="1" w:lastRow="0" w:firstColumn="1" w:lastColumn="0" w:noHBand="0" w:noVBand="0"/>
      </w:tblPr>
      <w:tblGrid>
        <w:gridCol w:w="2780"/>
        <w:gridCol w:w="2779"/>
        <w:gridCol w:w="2779"/>
        <w:gridCol w:w="2779"/>
        <w:gridCol w:w="2779"/>
      </w:tblGrid>
      <w:tr w:rsidR="00F523B6" w:rsidRPr="00A52DF0" w14:paraId="613D6DBF" w14:textId="77777777">
        <w:tc>
          <w:tcPr>
            <w:tcW w:w="1000" w:type="pct"/>
          </w:tcPr>
          <w:p w14:paraId="469A2F6E" w14:textId="77777777" w:rsidR="00F523B6" w:rsidRPr="00A52DF0" w:rsidRDefault="00F523B6" w:rsidP="00192A5C">
            <w:pPr>
              <w:jc w:val="center"/>
              <w:rPr>
                <w:b/>
                <w:sz w:val="18"/>
              </w:rPr>
            </w:pPr>
          </w:p>
        </w:tc>
        <w:tc>
          <w:tcPr>
            <w:tcW w:w="1000" w:type="pct"/>
          </w:tcPr>
          <w:p w14:paraId="241A6FD8" w14:textId="77777777" w:rsidR="00F523B6" w:rsidRPr="00A52DF0" w:rsidRDefault="00F523B6" w:rsidP="00192A5C">
            <w:pPr>
              <w:jc w:val="center"/>
              <w:rPr>
                <w:b/>
                <w:sz w:val="18"/>
              </w:rPr>
            </w:pPr>
            <w:r w:rsidRPr="00A52DF0">
              <w:rPr>
                <w:b/>
                <w:sz w:val="18"/>
              </w:rPr>
              <w:t>4</w:t>
            </w:r>
          </w:p>
        </w:tc>
        <w:tc>
          <w:tcPr>
            <w:tcW w:w="1000" w:type="pct"/>
          </w:tcPr>
          <w:p w14:paraId="254185FD" w14:textId="77777777" w:rsidR="00F523B6" w:rsidRPr="00A52DF0" w:rsidRDefault="00F523B6" w:rsidP="00192A5C">
            <w:pPr>
              <w:jc w:val="center"/>
              <w:rPr>
                <w:b/>
                <w:sz w:val="18"/>
              </w:rPr>
            </w:pPr>
            <w:r w:rsidRPr="00A52DF0">
              <w:rPr>
                <w:b/>
                <w:sz w:val="18"/>
              </w:rPr>
              <w:t>3</w:t>
            </w:r>
          </w:p>
        </w:tc>
        <w:tc>
          <w:tcPr>
            <w:tcW w:w="1000" w:type="pct"/>
          </w:tcPr>
          <w:p w14:paraId="5DBE108D" w14:textId="77777777" w:rsidR="00F523B6" w:rsidRPr="00A52DF0" w:rsidRDefault="00F523B6" w:rsidP="00192A5C">
            <w:pPr>
              <w:jc w:val="center"/>
              <w:rPr>
                <w:b/>
                <w:sz w:val="18"/>
              </w:rPr>
            </w:pPr>
            <w:r w:rsidRPr="00A52DF0">
              <w:rPr>
                <w:b/>
                <w:sz w:val="18"/>
              </w:rPr>
              <w:t>2</w:t>
            </w:r>
          </w:p>
        </w:tc>
        <w:tc>
          <w:tcPr>
            <w:tcW w:w="1000" w:type="pct"/>
          </w:tcPr>
          <w:p w14:paraId="5F8DE2AA" w14:textId="77777777" w:rsidR="00F523B6" w:rsidRPr="00A52DF0" w:rsidRDefault="00F523B6" w:rsidP="00192A5C">
            <w:pPr>
              <w:jc w:val="center"/>
              <w:rPr>
                <w:b/>
                <w:sz w:val="18"/>
              </w:rPr>
            </w:pPr>
            <w:r w:rsidRPr="00A52DF0">
              <w:rPr>
                <w:b/>
                <w:sz w:val="18"/>
              </w:rPr>
              <w:t>1</w:t>
            </w:r>
          </w:p>
        </w:tc>
      </w:tr>
      <w:tr w:rsidR="00F523B6" w:rsidRPr="00A52DF0" w14:paraId="66858C7E" w14:textId="77777777">
        <w:tc>
          <w:tcPr>
            <w:tcW w:w="1000" w:type="pct"/>
          </w:tcPr>
          <w:p w14:paraId="0CA81800" w14:textId="77777777" w:rsidR="00F523B6" w:rsidRPr="00192A5C" w:rsidRDefault="00192A5C">
            <w:pPr>
              <w:rPr>
                <w:b/>
                <w:sz w:val="18"/>
              </w:rPr>
            </w:pPr>
            <w:r>
              <w:rPr>
                <w:b/>
                <w:sz w:val="18"/>
              </w:rPr>
              <w:t>Organization</w:t>
            </w:r>
          </w:p>
        </w:tc>
        <w:tc>
          <w:tcPr>
            <w:tcW w:w="1000" w:type="pct"/>
          </w:tcPr>
          <w:p w14:paraId="27AD62C9" w14:textId="77777777" w:rsidR="00F523B6" w:rsidRPr="00A52DF0" w:rsidRDefault="00192A5C" w:rsidP="00192A5C">
            <w:pPr>
              <w:rPr>
                <w:sz w:val="18"/>
              </w:rPr>
            </w:pPr>
            <w:r>
              <w:rPr>
                <w:sz w:val="18"/>
              </w:rPr>
              <w:t>Organizational pattern (specific introduction and conclusion, sequenced material within the body, and transitions) is clearly and consistently observable and is skillful and makes the content of the presentation cohesive.</w:t>
            </w:r>
          </w:p>
        </w:tc>
        <w:tc>
          <w:tcPr>
            <w:tcW w:w="1000" w:type="pct"/>
          </w:tcPr>
          <w:p w14:paraId="41B387FF" w14:textId="77777777" w:rsidR="00F523B6" w:rsidRPr="00A52DF0" w:rsidRDefault="00192A5C">
            <w:pPr>
              <w:rPr>
                <w:sz w:val="18"/>
              </w:rPr>
            </w:pPr>
            <w:r>
              <w:rPr>
                <w:sz w:val="18"/>
              </w:rPr>
              <w:t>Organizational pattern (specific introduction and conclusion, sequenced material within the body, and transitions) is clearly and consistently observable within the presentation.</w:t>
            </w:r>
          </w:p>
        </w:tc>
        <w:tc>
          <w:tcPr>
            <w:tcW w:w="1000" w:type="pct"/>
          </w:tcPr>
          <w:p w14:paraId="1F750659" w14:textId="77777777" w:rsidR="00F523B6" w:rsidRPr="00A52DF0" w:rsidRDefault="00600292">
            <w:pPr>
              <w:rPr>
                <w:sz w:val="18"/>
              </w:rPr>
            </w:pPr>
            <w:r>
              <w:rPr>
                <w:sz w:val="18"/>
              </w:rPr>
              <w:t>Organizational pattern (</w:t>
            </w:r>
            <w:r w:rsidR="00192A5C">
              <w:rPr>
                <w:sz w:val="18"/>
              </w:rPr>
              <w:t>specific introduction and conclusion, sequenced material within the body, and transitions) is intermittently observable within the presentation.</w:t>
            </w:r>
          </w:p>
        </w:tc>
        <w:tc>
          <w:tcPr>
            <w:tcW w:w="1000" w:type="pct"/>
          </w:tcPr>
          <w:p w14:paraId="67814D76" w14:textId="77777777" w:rsidR="00F523B6" w:rsidRPr="00A52DF0" w:rsidRDefault="00600292">
            <w:pPr>
              <w:rPr>
                <w:sz w:val="18"/>
              </w:rPr>
            </w:pPr>
            <w:r>
              <w:rPr>
                <w:sz w:val="18"/>
              </w:rPr>
              <w:t>Organizational pattern (</w:t>
            </w:r>
            <w:r w:rsidR="00192A5C">
              <w:rPr>
                <w:sz w:val="18"/>
              </w:rPr>
              <w:t>specific introduction and conclusion, sequenced material within the body, and transitions) is not observable within the presentation.</w:t>
            </w:r>
          </w:p>
        </w:tc>
      </w:tr>
      <w:tr w:rsidR="00192A5C" w:rsidRPr="00A52DF0" w14:paraId="063BF12F" w14:textId="77777777">
        <w:tc>
          <w:tcPr>
            <w:tcW w:w="1000" w:type="pct"/>
          </w:tcPr>
          <w:p w14:paraId="2C6BBBCE" w14:textId="77777777" w:rsidR="00192A5C" w:rsidRDefault="00192A5C">
            <w:pPr>
              <w:rPr>
                <w:b/>
                <w:sz w:val="18"/>
              </w:rPr>
            </w:pPr>
            <w:r>
              <w:rPr>
                <w:b/>
                <w:sz w:val="18"/>
              </w:rPr>
              <w:t>Language</w:t>
            </w:r>
          </w:p>
        </w:tc>
        <w:tc>
          <w:tcPr>
            <w:tcW w:w="1000" w:type="pct"/>
          </w:tcPr>
          <w:p w14:paraId="3C10953E" w14:textId="77777777" w:rsidR="00192A5C" w:rsidRDefault="00192A5C" w:rsidP="00192A5C">
            <w:pPr>
              <w:rPr>
                <w:sz w:val="18"/>
              </w:rPr>
            </w:pPr>
            <w:r>
              <w:rPr>
                <w:sz w:val="18"/>
              </w:rPr>
              <w:t>Language choices are imaginative, memorable and compelling</w:t>
            </w:r>
            <w:r w:rsidR="008B76DA">
              <w:rPr>
                <w:sz w:val="18"/>
              </w:rPr>
              <w:t xml:space="preserve"> </w:t>
            </w:r>
            <w:r>
              <w:rPr>
                <w:sz w:val="18"/>
              </w:rPr>
              <w:t xml:space="preserve">and enhance the effectiveness of the presentation. Language in </w:t>
            </w:r>
            <w:r w:rsidR="008B76DA">
              <w:rPr>
                <w:sz w:val="18"/>
              </w:rPr>
              <w:t>presentation</w:t>
            </w:r>
            <w:r>
              <w:rPr>
                <w:sz w:val="18"/>
              </w:rPr>
              <w:t xml:space="preserve"> is appropriate to audience.</w:t>
            </w:r>
          </w:p>
        </w:tc>
        <w:tc>
          <w:tcPr>
            <w:tcW w:w="1000" w:type="pct"/>
          </w:tcPr>
          <w:p w14:paraId="633A4955" w14:textId="77777777" w:rsidR="00192A5C" w:rsidRDefault="00192A5C">
            <w:pPr>
              <w:rPr>
                <w:sz w:val="18"/>
              </w:rPr>
            </w:pPr>
            <w:r>
              <w:rPr>
                <w:sz w:val="18"/>
              </w:rPr>
              <w:t xml:space="preserve">Language choices are thoughtful and generally </w:t>
            </w:r>
            <w:r w:rsidR="008B76DA">
              <w:rPr>
                <w:sz w:val="18"/>
              </w:rPr>
              <w:t>support</w:t>
            </w:r>
            <w:r>
              <w:rPr>
                <w:sz w:val="18"/>
              </w:rPr>
              <w:t xml:space="preserve"> the effectiveness of the </w:t>
            </w:r>
            <w:r w:rsidR="008B76DA">
              <w:rPr>
                <w:sz w:val="18"/>
              </w:rPr>
              <w:t>presentation</w:t>
            </w:r>
            <w:r>
              <w:rPr>
                <w:sz w:val="18"/>
              </w:rPr>
              <w:t>. Language in presentation is appropriate to audience.</w:t>
            </w:r>
          </w:p>
        </w:tc>
        <w:tc>
          <w:tcPr>
            <w:tcW w:w="1000" w:type="pct"/>
          </w:tcPr>
          <w:p w14:paraId="4E1C2B9A" w14:textId="77777777" w:rsidR="00192A5C" w:rsidRDefault="00192A5C">
            <w:pPr>
              <w:rPr>
                <w:sz w:val="18"/>
              </w:rPr>
            </w:pPr>
            <w:r>
              <w:rPr>
                <w:sz w:val="18"/>
              </w:rPr>
              <w:t>Language choices are mundane and commonplace and partially support the effectiveness of the presentation.</w:t>
            </w:r>
          </w:p>
          <w:p w14:paraId="29C1981A" w14:textId="77777777" w:rsidR="00192A5C" w:rsidRDefault="00192A5C">
            <w:pPr>
              <w:rPr>
                <w:sz w:val="18"/>
              </w:rPr>
            </w:pPr>
            <w:r>
              <w:rPr>
                <w:sz w:val="18"/>
              </w:rPr>
              <w:t>Language in presentation is appropriate to audience.</w:t>
            </w:r>
          </w:p>
        </w:tc>
        <w:tc>
          <w:tcPr>
            <w:tcW w:w="1000" w:type="pct"/>
          </w:tcPr>
          <w:p w14:paraId="02F4D92B" w14:textId="77777777" w:rsidR="00192A5C" w:rsidRDefault="00192A5C">
            <w:pPr>
              <w:rPr>
                <w:sz w:val="18"/>
              </w:rPr>
            </w:pPr>
            <w:r>
              <w:rPr>
                <w:sz w:val="18"/>
              </w:rPr>
              <w:t>Language choices are unclear and minimally support the effectiveness of the presentation. Language in presentation is not appropriate to audience.</w:t>
            </w:r>
          </w:p>
        </w:tc>
      </w:tr>
      <w:tr w:rsidR="00192A5C" w:rsidRPr="00A52DF0" w14:paraId="480BFF97" w14:textId="77777777">
        <w:tc>
          <w:tcPr>
            <w:tcW w:w="1000" w:type="pct"/>
          </w:tcPr>
          <w:p w14:paraId="44A05225" w14:textId="77777777" w:rsidR="00192A5C" w:rsidRDefault="00192A5C">
            <w:pPr>
              <w:rPr>
                <w:b/>
                <w:sz w:val="18"/>
              </w:rPr>
            </w:pPr>
            <w:r>
              <w:rPr>
                <w:b/>
                <w:sz w:val="18"/>
              </w:rPr>
              <w:t>Delivery</w:t>
            </w:r>
          </w:p>
        </w:tc>
        <w:tc>
          <w:tcPr>
            <w:tcW w:w="1000" w:type="pct"/>
          </w:tcPr>
          <w:p w14:paraId="557C3D82" w14:textId="77777777" w:rsidR="00192A5C" w:rsidRDefault="00192A5C" w:rsidP="00192A5C">
            <w:pPr>
              <w:rPr>
                <w:sz w:val="18"/>
              </w:rPr>
            </w:pPr>
            <w:r>
              <w:rPr>
                <w:sz w:val="18"/>
              </w:rPr>
              <w:t>Delivery techniques (posture, gesture, eye contact, and vocal expressiveness) make the presentation compelling, and speaker appears polished and confident.</w:t>
            </w:r>
          </w:p>
        </w:tc>
        <w:tc>
          <w:tcPr>
            <w:tcW w:w="1000" w:type="pct"/>
          </w:tcPr>
          <w:p w14:paraId="1A507A3F" w14:textId="77777777" w:rsidR="00192A5C" w:rsidRDefault="005274EF">
            <w:pPr>
              <w:rPr>
                <w:sz w:val="18"/>
              </w:rPr>
            </w:pPr>
            <w:r>
              <w:rPr>
                <w:sz w:val="18"/>
              </w:rPr>
              <w:t>Delivery techniques (posture, gesture, eye contact, and vocal expressiveness) make the presentation interesting, and speaker appears comfortable.</w:t>
            </w:r>
          </w:p>
        </w:tc>
        <w:tc>
          <w:tcPr>
            <w:tcW w:w="1000" w:type="pct"/>
          </w:tcPr>
          <w:p w14:paraId="1C6E8A72" w14:textId="77777777" w:rsidR="00192A5C" w:rsidRDefault="005274EF">
            <w:pPr>
              <w:rPr>
                <w:sz w:val="18"/>
              </w:rPr>
            </w:pPr>
            <w:r>
              <w:rPr>
                <w:sz w:val="18"/>
              </w:rPr>
              <w:t>Delivery techniques (posture, gesture, eye contact, and vocal expressiveness) make the presentation understandable, and speaker appears tentative.</w:t>
            </w:r>
          </w:p>
        </w:tc>
        <w:tc>
          <w:tcPr>
            <w:tcW w:w="1000" w:type="pct"/>
          </w:tcPr>
          <w:p w14:paraId="57C1FCCC" w14:textId="77777777" w:rsidR="00192A5C" w:rsidRDefault="005274EF" w:rsidP="005274EF">
            <w:pPr>
              <w:rPr>
                <w:sz w:val="18"/>
              </w:rPr>
            </w:pPr>
            <w:r>
              <w:rPr>
                <w:sz w:val="18"/>
              </w:rPr>
              <w:t>Delivery techniques (posture, gesture, eye contact, and vocal expressiveness) detract from the understandability of the presentation, and speaker appears uncomfortable.</w:t>
            </w:r>
          </w:p>
        </w:tc>
      </w:tr>
      <w:tr w:rsidR="005274EF" w:rsidRPr="00A52DF0" w14:paraId="6DF73EBA" w14:textId="77777777">
        <w:tc>
          <w:tcPr>
            <w:tcW w:w="1000" w:type="pct"/>
          </w:tcPr>
          <w:p w14:paraId="0F5929C3" w14:textId="77777777" w:rsidR="005274EF" w:rsidRDefault="005274EF" w:rsidP="00982F6D">
            <w:pPr>
              <w:rPr>
                <w:b/>
                <w:sz w:val="18"/>
              </w:rPr>
            </w:pPr>
            <w:r>
              <w:rPr>
                <w:b/>
                <w:sz w:val="18"/>
              </w:rPr>
              <w:t xml:space="preserve">Supporting </w:t>
            </w:r>
            <w:r w:rsidR="00982F6D">
              <w:rPr>
                <w:b/>
                <w:sz w:val="18"/>
              </w:rPr>
              <w:t>m</w:t>
            </w:r>
            <w:r>
              <w:rPr>
                <w:b/>
                <w:sz w:val="18"/>
              </w:rPr>
              <w:t>aterial</w:t>
            </w:r>
          </w:p>
        </w:tc>
        <w:tc>
          <w:tcPr>
            <w:tcW w:w="1000" w:type="pct"/>
          </w:tcPr>
          <w:p w14:paraId="6AA3D283" w14:textId="77777777" w:rsidR="005274EF" w:rsidRDefault="005274EF" w:rsidP="00192A5C">
            <w:pPr>
              <w:rPr>
                <w:sz w:val="18"/>
              </w:rPr>
            </w:pPr>
            <w:r>
              <w:rPr>
                <w:sz w:val="18"/>
              </w:rPr>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1000" w:type="pct"/>
          </w:tcPr>
          <w:p w14:paraId="29CFE008" w14:textId="77777777" w:rsidR="005274EF" w:rsidRDefault="005274EF">
            <w:pPr>
              <w:rPr>
                <w:sz w:val="18"/>
              </w:rPr>
            </w:pPr>
            <w:r>
              <w:rPr>
                <w:sz w:val="18"/>
              </w:rPr>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1000" w:type="pct"/>
          </w:tcPr>
          <w:p w14:paraId="26D250B9" w14:textId="77777777" w:rsidR="005274EF" w:rsidRDefault="005274EF">
            <w:pPr>
              <w:rPr>
                <w:sz w:val="18"/>
              </w:rPr>
            </w:pPr>
            <w:r>
              <w:rPr>
                <w:sz w:val="18"/>
              </w:rPr>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1000" w:type="pct"/>
          </w:tcPr>
          <w:p w14:paraId="6D6F9D6D" w14:textId="77777777" w:rsidR="005274EF" w:rsidRDefault="00AE21EA" w:rsidP="00AE21EA">
            <w:pPr>
              <w:rPr>
                <w:sz w:val="18"/>
              </w:rPr>
            </w:pPr>
            <w:r>
              <w:rPr>
                <w:sz w:val="18"/>
              </w:rPr>
              <w:t>Insufficient s</w:t>
            </w:r>
            <w:r w:rsidR="005274EF">
              <w:rPr>
                <w:sz w:val="18"/>
              </w:rPr>
              <w:t>upporting materials (explanations, examples, illustrations, statistics, analogies, quotations from relevant authorities) make reference to information or analysis which</w:t>
            </w:r>
            <w:r>
              <w:rPr>
                <w:sz w:val="18"/>
              </w:rPr>
              <w:t xml:space="preserve"> minimally supports the presentation or establishes the presenter’s credibility/authority on the topic.</w:t>
            </w:r>
          </w:p>
        </w:tc>
      </w:tr>
      <w:tr w:rsidR="00AE21EA" w:rsidRPr="00A52DF0" w14:paraId="0AD8B270" w14:textId="77777777">
        <w:tc>
          <w:tcPr>
            <w:tcW w:w="1000" w:type="pct"/>
          </w:tcPr>
          <w:p w14:paraId="412E6792" w14:textId="77777777" w:rsidR="00AE21EA" w:rsidRDefault="002A2866">
            <w:pPr>
              <w:rPr>
                <w:b/>
                <w:sz w:val="18"/>
              </w:rPr>
            </w:pPr>
            <w:r>
              <w:rPr>
                <w:b/>
                <w:sz w:val="18"/>
              </w:rPr>
              <w:t>Central</w:t>
            </w:r>
            <w:r w:rsidR="00AE21EA">
              <w:rPr>
                <w:b/>
                <w:sz w:val="18"/>
              </w:rPr>
              <w:t xml:space="preserve"> Message</w:t>
            </w:r>
          </w:p>
        </w:tc>
        <w:tc>
          <w:tcPr>
            <w:tcW w:w="1000" w:type="pct"/>
          </w:tcPr>
          <w:p w14:paraId="2C482B93" w14:textId="77777777" w:rsidR="00AE21EA" w:rsidRDefault="00AE21EA" w:rsidP="00192A5C">
            <w:pPr>
              <w:rPr>
                <w:sz w:val="18"/>
              </w:rPr>
            </w:pPr>
            <w:r>
              <w:rPr>
                <w:sz w:val="18"/>
              </w:rPr>
              <w:t xml:space="preserve">Central message is compelling (precisely stated, appropriately repeated, memorable, and </w:t>
            </w:r>
            <w:r w:rsidR="001C44BF">
              <w:rPr>
                <w:sz w:val="18"/>
              </w:rPr>
              <w:t>strongly supported</w:t>
            </w:r>
            <w:r>
              <w:rPr>
                <w:sz w:val="18"/>
              </w:rPr>
              <w:t>)</w:t>
            </w:r>
            <w:r w:rsidR="001C44BF">
              <w:rPr>
                <w:sz w:val="18"/>
              </w:rPr>
              <w:t>.</w:t>
            </w:r>
          </w:p>
        </w:tc>
        <w:tc>
          <w:tcPr>
            <w:tcW w:w="1000" w:type="pct"/>
          </w:tcPr>
          <w:p w14:paraId="67BC7094" w14:textId="77777777" w:rsidR="00AE21EA" w:rsidRDefault="00AE21EA">
            <w:pPr>
              <w:rPr>
                <w:sz w:val="18"/>
              </w:rPr>
            </w:pPr>
            <w:r>
              <w:rPr>
                <w:sz w:val="18"/>
              </w:rPr>
              <w:t>Central message is clear and consistent with the supporting material.</w:t>
            </w:r>
          </w:p>
        </w:tc>
        <w:tc>
          <w:tcPr>
            <w:tcW w:w="1000" w:type="pct"/>
          </w:tcPr>
          <w:p w14:paraId="4337D739" w14:textId="77777777" w:rsidR="00AE21EA" w:rsidRDefault="00AE21EA">
            <w:pPr>
              <w:rPr>
                <w:sz w:val="18"/>
              </w:rPr>
            </w:pPr>
            <w:r>
              <w:rPr>
                <w:sz w:val="18"/>
              </w:rPr>
              <w:t>Central message is basically understandable but is not often repeated and is not memorable.</w:t>
            </w:r>
          </w:p>
        </w:tc>
        <w:tc>
          <w:tcPr>
            <w:tcW w:w="1000" w:type="pct"/>
          </w:tcPr>
          <w:p w14:paraId="50489067" w14:textId="77777777" w:rsidR="00AE21EA" w:rsidRDefault="00AE21EA" w:rsidP="00AE21EA">
            <w:pPr>
              <w:rPr>
                <w:sz w:val="18"/>
              </w:rPr>
            </w:pPr>
            <w:r>
              <w:rPr>
                <w:sz w:val="18"/>
              </w:rPr>
              <w:t>Central message can be deduced, but is not explicitly stated in the presentation.</w:t>
            </w:r>
          </w:p>
        </w:tc>
      </w:tr>
    </w:tbl>
    <w:p w14:paraId="36421F32" w14:textId="77777777" w:rsidR="003806BD" w:rsidRPr="00DA2189" w:rsidRDefault="003806BD" w:rsidP="00DA2189">
      <w:pPr>
        <w:spacing w:after="0"/>
        <w:rPr>
          <w:sz w:val="18"/>
        </w:rPr>
      </w:pPr>
    </w:p>
    <w:sectPr w:rsidR="003806BD" w:rsidRPr="00DA2189" w:rsidSect="003806BD">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EA97" w14:textId="77777777" w:rsidR="002805A0" w:rsidRDefault="00243FD4">
      <w:pPr>
        <w:spacing w:after="0"/>
      </w:pPr>
      <w:r>
        <w:separator/>
      </w:r>
    </w:p>
  </w:endnote>
  <w:endnote w:type="continuationSeparator" w:id="0">
    <w:p w14:paraId="7FE36F82" w14:textId="77777777" w:rsidR="002805A0" w:rsidRDefault="00243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ont350">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396F6" w14:textId="77777777" w:rsidR="002805A0" w:rsidRDefault="00243FD4">
      <w:pPr>
        <w:spacing w:after="0"/>
      </w:pPr>
      <w:r>
        <w:separator/>
      </w:r>
    </w:p>
  </w:footnote>
  <w:footnote w:type="continuationSeparator" w:id="0">
    <w:p w14:paraId="4D2DA790" w14:textId="77777777" w:rsidR="002805A0" w:rsidRDefault="00243FD4">
      <w:pPr>
        <w:spacing w:after="0"/>
      </w:pPr>
      <w:r>
        <w:continuationSeparator/>
      </w:r>
    </w:p>
  </w:footnote>
  <w:footnote w:id="1">
    <w:p w14:paraId="542D86DE" w14:textId="77777777" w:rsidR="00F65F65" w:rsidRPr="00191390" w:rsidRDefault="00F65F65" w:rsidP="00F65F65">
      <w:pPr>
        <w:pStyle w:val="FootnoteText"/>
        <w:rPr>
          <w:sz w:val="18"/>
        </w:rPr>
      </w:pPr>
      <w:r w:rsidRPr="00191390">
        <w:rPr>
          <w:rStyle w:val="FootnoteReference"/>
          <w:sz w:val="18"/>
        </w:rPr>
        <w:footnoteRef/>
      </w:r>
      <w:r w:rsidRPr="00191390">
        <w:rPr>
          <w:sz w:val="18"/>
        </w:rPr>
        <w:t xml:space="preserve"> AAC&amp;U - </w:t>
      </w:r>
      <w:hyperlink r:id="rId1" w:history="1">
        <w:r w:rsidRPr="00AC4686">
          <w:rPr>
            <w:rStyle w:val="Hyperlink"/>
            <w:sz w:val="18"/>
          </w:rPr>
          <w:t>http://www.aacu.org/value/metarubrics.cfm</w:t>
        </w:r>
      </w:hyperlink>
      <w:r>
        <w:rPr>
          <w:sz w:val="18"/>
        </w:rPr>
        <w:t xml:space="preserve">; LLU Office of Educational Effectiveness - </w:t>
      </w:r>
      <w:hyperlink r:id="rId2" w:history="1">
        <w:r w:rsidRPr="00AC4686">
          <w:rPr>
            <w:rStyle w:val="Hyperlink"/>
            <w:sz w:val="18"/>
          </w:rPr>
          <w:t>http://www.llu.edu/central/assessment/index.page</w:t>
        </w:r>
      </w:hyperlink>
      <w:r>
        <w:rPr>
          <w:sz w:val="18"/>
        </w:rPr>
        <w:t xml:space="preserve"> </w:t>
      </w:r>
    </w:p>
  </w:footnote>
  <w:footnote w:id="2">
    <w:p w14:paraId="335DE45B" w14:textId="77777777" w:rsidR="00E2136E" w:rsidRPr="00191390" w:rsidRDefault="00E2136E" w:rsidP="00E2136E">
      <w:pPr>
        <w:pStyle w:val="FootnoteText"/>
        <w:rPr>
          <w:sz w:val="18"/>
        </w:rPr>
      </w:pPr>
      <w:r w:rsidRPr="00191390">
        <w:rPr>
          <w:rStyle w:val="FootnoteReference"/>
          <w:sz w:val="18"/>
        </w:rPr>
        <w:footnoteRef/>
      </w:r>
      <w:r w:rsidRPr="00191390">
        <w:rPr>
          <w:sz w:val="18"/>
        </w:rPr>
        <w:t xml:space="preserve"> AAC&amp;U - </w:t>
      </w:r>
      <w:hyperlink r:id="rId3" w:history="1">
        <w:r w:rsidRPr="00AC4686">
          <w:rPr>
            <w:rStyle w:val="Hyperlink"/>
            <w:sz w:val="18"/>
          </w:rPr>
          <w:t>http://www.aacu.org/value/metarubrics.cfm</w:t>
        </w:r>
      </w:hyperlink>
      <w:r>
        <w:rPr>
          <w:sz w:val="18"/>
        </w:rPr>
        <w:t xml:space="preserve">; LLU Office of Educational Effectiveness - </w:t>
      </w:r>
      <w:hyperlink r:id="rId4" w:history="1">
        <w:r w:rsidRPr="00AC4686">
          <w:rPr>
            <w:rStyle w:val="Hyperlink"/>
            <w:sz w:val="18"/>
          </w:rPr>
          <w:t>http://www.llu.edu/central/assessment/index.page</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3C49"/>
    <w:multiLevelType w:val="hybridMultilevel"/>
    <w:tmpl w:val="E61C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D5BBB"/>
    <w:multiLevelType w:val="hybridMultilevel"/>
    <w:tmpl w:val="B3E0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BD"/>
    <w:rsid w:val="00022D57"/>
    <w:rsid w:val="00033ED1"/>
    <w:rsid w:val="00047141"/>
    <w:rsid w:val="00121FEB"/>
    <w:rsid w:val="00192A5C"/>
    <w:rsid w:val="0019547B"/>
    <w:rsid w:val="001A4CDA"/>
    <w:rsid w:val="001B2EBF"/>
    <w:rsid w:val="001C44BF"/>
    <w:rsid w:val="00243FD4"/>
    <w:rsid w:val="002805A0"/>
    <w:rsid w:val="0028798C"/>
    <w:rsid w:val="002A2866"/>
    <w:rsid w:val="003806BD"/>
    <w:rsid w:val="00441EE3"/>
    <w:rsid w:val="004C7CAE"/>
    <w:rsid w:val="004F4960"/>
    <w:rsid w:val="005274EF"/>
    <w:rsid w:val="00600292"/>
    <w:rsid w:val="00707A9C"/>
    <w:rsid w:val="00715BFF"/>
    <w:rsid w:val="00813A57"/>
    <w:rsid w:val="008B76DA"/>
    <w:rsid w:val="0098241A"/>
    <w:rsid w:val="00982F6D"/>
    <w:rsid w:val="009944F6"/>
    <w:rsid w:val="00AE21EA"/>
    <w:rsid w:val="00BE4543"/>
    <w:rsid w:val="00C44FC0"/>
    <w:rsid w:val="00C53339"/>
    <w:rsid w:val="00C63B00"/>
    <w:rsid w:val="00CC1535"/>
    <w:rsid w:val="00DA2189"/>
    <w:rsid w:val="00E030FD"/>
    <w:rsid w:val="00E2136E"/>
    <w:rsid w:val="00E37593"/>
    <w:rsid w:val="00E45339"/>
    <w:rsid w:val="00F240E0"/>
    <w:rsid w:val="00F2595D"/>
    <w:rsid w:val="00F523B6"/>
    <w:rsid w:val="00F65F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E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B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6BD"/>
    <w:rPr>
      <w:color w:val="0000FF" w:themeColor="hyperlink"/>
      <w:u w:val="single"/>
    </w:rPr>
  </w:style>
  <w:style w:type="paragraph" w:styleId="FootnoteText">
    <w:name w:val="footnote text"/>
    <w:basedOn w:val="Normal"/>
    <w:link w:val="FootnoteTextChar"/>
    <w:uiPriority w:val="99"/>
    <w:unhideWhenUsed/>
    <w:rsid w:val="003806BD"/>
    <w:pPr>
      <w:spacing w:after="0"/>
    </w:pPr>
  </w:style>
  <w:style w:type="character" w:customStyle="1" w:styleId="FootnoteTextChar">
    <w:name w:val="Footnote Text Char"/>
    <w:basedOn w:val="DefaultParagraphFont"/>
    <w:link w:val="FootnoteText"/>
    <w:uiPriority w:val="99"/>
    <w:rsid w:val="003806BD"/>
    <w:rPr>
      <w:rFonts w:ascii="Times New Roman" w:hAnsi="Times New Roman"/>
      <w:sz w:val="24"/>
      <w:szCs w:val="24"/>
    </w:rPr>
  </w:style>
  <w:style w:type="character" w:styleId="FootnoteReference">
    <w:name w:val="footnote reference"/>
    <w:basedOn w:val="DefaultParagraphFont"/>
    <w:uiPriority w:val="99"/>
    <w:semiHidden/>
    <w:unhideWhenUsed/>
    <w:rsid w:val="003806BD"/>
    <w:rPr>
      <w:vertAlign w:val="superscript"/>
    </w:rPr>
  </w:style>
  <w:style w:type="paragraph" w:styleId="ListParagraph">
    <w:name w:val="List Paragraph"/>
    <w:basedOn w:val="Normal"/>
    <w:uiPriority w:val="34"/>
    <w:qFormat/>
    <w:rsid w:val="009944F6"/>
    <w:pPr>
      <w:ind w:left="720"/>
      <w:contextualSpacing/>
    </w:pPr>
  </w:style>
  <w:style w:type="table" w:styleId="TableGrid">
    <w:name w:val="Table Grid"/>
    <w:basedOn w:val="TableNormal"/>
    <w:uiPriority w:val="59"/>
    <w:rsid w:val="00F523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07A9C"/>
    <w:pPr>
      <w:suppressAutoHyphens/>
      <w:autoSpaceDN w:val="0"/>
      <w:spacing w:after="0"/>
      <w:textAlignment w:val="baseline"/>
    </w:pPr>
    <w:rPr>
      <w:rFonts w:ascii="Times New Roman" w:eastAsia="Times New Roman" w:hAnsi="Times New Roman" w:cs="Times New Roman"/>
      <w:kern w:val="3"/>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B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6BD"/>
    <w:rPr>
      <w:color w:val="0000FF" w:themeColor="hyperlink"/>
      <w:u w:val="single"/>
    </w:rPr>
  </w:style>
  <w:style w:type="paragraph" w:styleId="FootnoteText">
    <w:name w:val="footnote text"/>
    <w:basedOn w:val="Normal"/>
    <w:link w:val="FootnoteTextChar"/>
    <w:uiPriority w:val="99"/>
    <w:unhideWhenUsed/>
    <w:rsid w:val="003806BD"/>
    <w:pPr>
      <w:spacing w:after="0"/>
    </w:pPr>
  </w:style>
  <w:style w:type="character" w:customStyle="1" w:styleId="FootnoteTextChar">
    <w:name w:val="Footnote Text Char"/>
    <w:basedOn w:val="DefaultParagraphFont"/>
    <w:link w:val="FootnoteText"/>
    <w:uiPriority w:val="99"/>
    <w:rsid w:val="003806BD"/>
    <w:rPr>
      <w:rFonts w:ascii="Times New Roman" w:hAnsi="Times New Roman"/>
      <w:sz w:val="24"/>
      <w:szCs w:val="24"/>
    </w:rPr>
  </w:style>
  <w:style w:type="character" w:styleId="FootnoteReference">
    <w:name w:val="footnote reference"/>
    <w:basedOn w:val="DefaultParagraphFont"/>
    <w:uiPriority w:val="99"/>
    <w:semiHidden/>
    <w:unhideWhenUsed/>
    <w:rsid w:val="003806BD"/>
    <w:rPr>
      <w:vertAlign w:val="superscript"/>
    </w:rPr>
  </w:style>
  <w:style w:type="paragraph" w:styleId="ListParagraph">
    <w:name w:val="List Paragraph"/>
    <w:basedOn w:val="Normal"/>
    <w:uiPriority w:val="34"/>
    <w:qFormat/>
    <w:rsid w:val="009944F6"/>
    <w:pPr>
      <w:ind w:left="720"/>
      <w:contextualSpacing/>
    </w:pPr>
  </w:style>
  <w:style w:type="table" w:styleId="TableGrid">
    <w:name w:val="Table Grid"/>
    <w:basedOn w:val="TableNormal"/>
    <w:uiPriority w:val="59"/>
    <w:rsid w:val="00F523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07A9C"/>
    <w:pPr>
      <w:suppressAutoHyphens/>
      <w:autoSpaceDN w:val="0"/>
      <w:spacing w:after="0"/>
      <w:textAlignment w:val="baseline"/>
    </w:pPr>
    <w:rPr>
      <w:rFonts w:ascii="Times New Roman" w:eastAsia="Times New Roman" w:hAnsi="Times New Roman" w:cs="Times New Roman"/>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sessment@llu.edu" TargetMode="External"/><Relationship Id="rId5" Type="http://schemas.openxmlformats.org/officeDocument/2006/relationships/webSettings" Target="webSettings.xml"/><Relationship Id="rId10" Type="http://schemas.openxmlformats.org/officeDocument/2006/relationships/hyperlink" Target="mailto:value@aacu.org" TargetMode="External"/><Relationship Id="rId4" Type="http://schemas.openxmlformats.org/officeDocument/2006/relationships/settings" Target="settings.xml"/><Relationship Id="rId9" Type="http://schemas.openxmlformats.org/officeDocument/2006/relationships/hyperlink" Target="mailto:assessment@llu.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acu.org/value/metarubrics.cfm" TargetMode="External"/><Relationship Id="rId2" Type="http://schemas.openxmlformats.org/officeDocument/2006/relationships/hyperlink" Target="http://www.llu.edu/central/assessment/index.page" TargetMode="External"/><Relationship Id="rId1" Type="http://schemas.openxmlformats.org/officeDocument/2006/relationships/hyperlink" Target="http://www.aacu.org/value/metarubrics.cfm" TargetMode="External"/><Relationship Id="rId4" Type="http://schemas.openxmlformats.org/officeDocument/2006/relationships/hyperlink" Target="http://www.llu.edu/central/assessment/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Eggers Marilyn</dc:creator>
  <cp:lastModifiedBy>Chavez, Vivian</cp:lastModifiedBy>
  <cp:revision>2</cp:revision>
  <dcterms:created xsi:type="dcterms:W3CDTF">2016-04-14T18:10:00Z</dcterms:created>
  <dcterms:modified xsi:type="dcterms:W3CDTF">2016-04-14T18:10:00Z</dcterms:modified>
</cp:coreProperties>
</file>