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7B" w:rsidRDefault="00A87742" w:rsidP="00E4314F">
      <w:pPr>
        <w:spacing w:after="0"/>
        <w:jc w:val="center"/>
        <w:rPr>
          <w:b/>
        </w:rPr>
      </w:pPr>
      <w:bookmarkStart w:id="0" w:name="_GoBack"/>
      <w:bookmarkEnd w:id="0"/>
      <w:r>
        <w:rPr>
          <w:b/>
        </w:rPr>
        <w:t xml:space="preserve">LLU </w:t>
      </w:r>
      <w:r w:rsidR="003462DF">
        <w:rPr>
          <w:b/>
        </w:rPr>
        <w:t xml:space="preserve">STUDENT LEARNING OUTCOME </w:t>
      </w:r>
      <w:r>
        <w:rPr>
          <w:b/>
        </w:rPr>
        <w:t>WRITTEN COMMUNICATION RUBRIC</w:t>
      </w:r>
    </w:p>
    <w:p w:rsidR="00E4314F" w:rsidRPr="00141B10" w:rsidRDefault="00DC5FC8" w:rsidP="00E4314F">
      <w:pPr>
        <w:spacing w:after="0"/>
        <w:jc w:val="center"/>
        <w:rPr>
          <w:i/>
          <w:sz w:val="16"/>
        </w:rPr>
      </w:pPr>
      <w:proofErr w:type="gramStart"/>
      <w:r w:rsidRPr="001E4399">
        <w:rPr>
          <w:i/>
          <w:sz w:val="20"/>
          <w:szCs w:val="20"/>
        </w:rPr>
        <w:t xml:space="preserve">Based on the AAC&amp;U </w:t>
      </w:r>
      <w:r>
        <w:rPr>
          <w:i/>
          <w:sz w:val="20"/>
          <w:szCs w:val="20"/>
        </w:rPr>
        <w:t>Written Communication</w:t>
      </w:r>
      <w:r w:rsidRPr="001E4399">
        <w:rPr>
          <w:i/>
          <w:sz w:val="20"/>
          <w:szCs w:val="20"/>
        </w:rPr>
        <w:t xml:space="preserve"> VALUE Rubric, </w:t>
      </w:r>
      <w:hyperlink r:id="rId8" w:history="1">
        <w:r w:rsidR="00E4314F" w:rsidRPr="00DD0AF5">
          <w:rPr>
            <w:rStyle w:val="Hyperlink"/>
            <w:i/>
            <w:sz w:val="16"/>
          </w:rPr>
          <w:t>assessment@llu.edu</w:t>
        </w:r>
      </w:hyperlink>
      <w:r w:rsidR="00E4314F">
        <w:rPr>
          <w:i/>
          <w:sz w:val="16"/>
        </w:rPr>
        <w:t>, or see sites below</w:t>
      </w:r>
      <w:r w:rsidR="00E4314F">
        <w:rPr>
          <w:rStyle w:val="FootnoteReference"/>
          <w:i/>
          <w:sz w:val="16"/>
        </w:rPr>
        <w:footnoteReference w:id="1"/>
      </w:r>
      <w:r w:rsidR="00E4314F">
        <w:rPr>
          <w:i/>
          <w:sz w:val="16"/>
        </w:rPr>
        <w:t>.</w:t>
      </w:r>
      <w:proofErr w:type="gramEnd"/>
    </w:p>
    <w:p w:rsidR="00E4314F" w:rsidRPr="00F20A0E" w:rsidRDefault="00E4314F" w:rsidP="00E4314F">
      <w:pPr>
        <w:spacing w:after="0"/>
        <w:jc w:val="center"/>
        <w:rPr>
          <w:sz w:val="18"/>
        </w:rPr>
      </w:pPr>
    </w:p>
    <w:p w:rsidR="00E4314F" w:rsidRPr="00F20A0E" w:rsidRDefault="00E4314F" w:rsidP="00E4314F">
      <w:pPr>
        <w:spacing w:after="0"/>
        <w:rPr>
          <w:sz w:val="18"/>
        </w:rPr>
      </w:pPr>
      <w:r w:rsidRPr="00F20A0E">
        <w:rPr>
          <w:sz w:val="18"/>
        </w:rPr>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w:t>
      </w:r>
      <w:r>
        <w:rPr>
          <w:sz w:val="18"/>
        </w:rPr>
        <w:t>teria for each learning outcome</w:t>
      </w:r>
      <w:r w:rsidRPr="00F20A0E">
        <w:rPr>
          <w:sz w:val="18"/>
        </w:rPr>
        <w:t>, with performance descriptors demonstrating progressively more sophisticated levels of attainment. The rubrics</w:t>
      </w:r>
      <w:r>
        <w:rPr>
          <w:sz w:val="18"/>
        </w:rPr>
        <w:t xml:space="preserve"> are intended for institutional</w:t>
      </w:r>
      <w:r w:rsidRPr="00F20A0E">
        <w:rPr>
          <w:sz w:val="18"/>
        </w:rPr>
        <w:t>-level use in evaluating and discussing student learning</w:t>
      </w:r>
      <w:r>
        <w:rPr>
          <w:sz w:val="18"/>
        </w:rPr>
        <w:t>,</w:t>
      </w:r>
      <w:r w:rsidRPr="00F20A0E">
        <w:rPr>
          <w:sz w:val="18"/>
        </w:rPr>
        <w:t xml:space="preserve"> not for grading. The core expectations articulated in all 15 of the VALUE rubrics can and should be translated into </w:t>
      </w:r>
      <w:r>
        <w:rPr>
          <w:sz w:val="18"/>
        </w:rPr>
        <w:t>the language o</w:t>
      </w:r>
      <w:r w:rsidRPr="00F20A0E">
        <w:rPr>
          <w:sz w:val="18"/>
        </w:rPr>
        <w:t>f individual campuses, disciplines, and even courses. The utility of the VALUE rubrics is to position learning at all undergraduate levels within a basic framework of expectations such that evidence of learning can be shared nationally through a common dialog and understanding of student success.</w:t>
      </w:r>
    </w:p>
    <w:p w:rsidR="00E4314F" w:rsidRPr="00F20A0E" w:rsidRDefault="00E4314F" w:rsidP="00E4314F">
      <w:pPr>
        <w:spacing w:after="0"/>
        <w:rPr>
          <w:sz w:val="18"/>
        </w:rPr>
      </w:pPr>
    </w:p>
    <w:p w:rsidR="00E4314F" w:rsidRPr="00F20A0E" w:rsidRDefault="00E4314F" w:rsidP="00E4314F">
      <w:pPr>
        <w:spacing w:after="0"/>
        <w:jc w:val="center"/>
        <w:rPr>
          <w:b/>
          <w:sz w:val="18"/>
        </w:rPr>
      </w:pPr>
      <w:r w:rsidRPr="00F20A0E">
        <w:rPr>
          <w:b/>
          <w:sz w:val="18"/>
        </w:rPr>
        <w:t>Definition</w:t>
      </w:r>
    </w:p>
    <w:p w:rsidR="00E4314F" w:rsidRDefault="00E4314F">
      <w:pPr>
        <w:rPr>
          <w:sz w:val="18"/>
        </w:rPr>
      </w:pPr>
      <w:r>
        <w:rPr>
          <w:sz w:val="18"/>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E4314F" w:rsidRPr="005E60AE" w:rsidRDefault="00E4314F" w:rsidP="00E4314F">
      <w:pPr>
        <w:spacing w:after="0"/>
        <w:jc w:val="center"/>
        <w:rPr>
          <w:b/>
          <w:sz w:val="18"/>
        </w:rPr>
      </w:pPr>
      <w:r w:rsidRPr="005E60AE">
        <w:rPr>
          <w:b/>
          <w:sz w:val="18"/>
        </w:rPr>
        <w:t>Framing Language</w:t>
      </w:r>
    </w:p>
    <w:p w:rsidR="00E4314F" w:rsidRDefault="00E4314F">
      <w:pPr>
        <w:rPr>
          <w:sz w:val="18"/>
        </w:rPr>
      </w:pPr>
      <w:r>
        <w:rPr>
          <w:sz w:val="18"/>
        </w:rPr>
        <w:t xml:space="preserve">This writing rubric is designed for use in a wide variety of educational institutions. The </w:t>
      </w:r>
      <w:proofErr w:type="gramStart"/>
      <w:r>
        <w:rPr>
          <w:sz w:val="18"/>
        </w:rPr>
        <w:t>most clear</w:t>
      </w:r>
      <w:proofErr w:type="gramEnd"/>
      <w:r>
        <w:rPr>
          <w:sz w:val="18"/>
        </w:rPr>
        <w:t xml:space="preserve">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rsidR="00E4314F" w:rsidRDefault="00E4314F">
      <w:pPr>
        <w:rPr>
          <w:sz w:val="18"/>
        </w:rPr>
      </w:pPr>
      <w:r>
        <w:rPr>
          <w:sz w:val="18"/>
        </w:rPr>
        <w:t>This rubric focuses assessment on how specific written work samples or collections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disciplinarity through the process of writing.</w:t>
      </w:r>
    </w:p>
    <w:p w:rsidR="00E4314F" w:rsidRDefault="00E4314F">
      <w:pPr>
        <w:rPr>
          <w:sz w:val="18"/>
        </w:rPr>
      </w:pPr>
      <w:r>
        <w:rPr>
          <w:sz w:val="18"/>
        </w:rPr>
        <w:t>Evaluators using this rubric must have information about the assignments or purposes for writing guiding writers’ work. Also recommended is including reflective work samples of collections of work that address such questions as: What decisions die the writer make about audience, purpose, and genre as s/he compiled the work in the portfolio? How are those choices evident in the writing—in the content, organization and structure, reasoning, evidence, mechanical and surface conventions, and citational systems used in the writing? This will enable evaluators to have a clear sense of how writers understand the assignments and take it into consideration as they evaluate.</w:t>
      </w:r>
    </w:p>
    <w:p w:rsidR="00E4314F" w:rsidRDefault="00E4314F">
      <w:pPr>
        <w:rPr>
          <w:sz w:val="18"/>
        </w:rPr>
      </w:pPr>
      <w:r>
        <w:rPr>
          <w:sz w:val="18"/>
        </w:rPr>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rsidR="00E4314F" w:rsidRDefault="00E4314F">
      <w:pPr>
        <w:rPr>
          <w:sz w:val="18"/>
        </w:rPr>
      </w:pPr>
      <w:r>
        <w:rPr>
          <w:sz w:val="18"/>
        </w:rPr>
        <w:t xml:space="preserve">Faculty interested in the research on writing assessment that has guided our work here can consult the National Council of Teachers of English/Council of Writing Program Administrators’ White Paper on Writing Assessment (2008; </w:t>
      </w:r>
      <w:hyperlink r:id="rId9" w:history="1">
        <w:r w:rsidRPr="00AC4686">
          <w:rPr>
            <w:rStyle w:val="Hyperlink"/>
            <w:sz w:val="18"/>
          </w:rPr>
          <w:t>http://www.wpacouncil.org/whitepaper</w:t>
        </w:r>
      </w:hyperlink>
      <w:r>
        <w:rPr>
          <w:sz w:val="18"/>
        </w:rPr>
        <w:t xml:space="preserve">) and the Conference on College Composition and Communication’s Writing Assessment: A Position Statement (2008; </w:t>
      </w:r>
      <w:hyperlink r:id="rId10" w:history="1">
        <w:r w:rsidRPr="00AC4686">
          <w:rPr>
            <w:rStyle w:val="Hyperlink"/>
            <w:sz w:val="18"/>
          </w:rPr>
          <w:t>http://www.ncte.org/cccc/resources/positions/123784.htm</w:t>
        </w:r>
      </w:hyperlink>
      <w:r>
        <w:rPr>
          <w:sz w:val="18"/>
        </w:rPr>
        <w:t>).</w:t>
      </w:r>
    </w:p>
    <w:p w:rsidR="00E4314F" w:rsidRDefault="00E4314F">
      <w:pPr>
        <w:rPr>
          <w:sz w:val="18"/>
        </w:rPr>
      </w:pPr>
    </w:p>
    <w:p w:rsidR="00E4314F" w:rsidRPr="005E60AE" w:rsidRDefault="00E4314F" w:rsidP="00E4314F">
      <w:pPr>
        <w:spacing w:after="0"/>
        <w:jc w:val="center"/>
        <w:rPr>
          <w:b/>
          <w:sz w:val="18"/>
        </w:rPr>
      </w:pPr>
      <w:r w:rsidRPr="005E60AE">
        <w:rPr>
          <w:b/>
          <w:sz w:val="18"/>
        </w:rPr>
        <w:t>Glossary</w:t>
      </w:r>
    </w:p>
    <w:p w:rsidR="00E4314F" w:rsidRDefault="00E4314F" w:rsidP="00E4314F">
      <w:pPr>
        <w:spacing w:after="0"/>
        <w:jc w:val="center"/>
        <w:rPr>
          <w:sz w:val="18"/>
        </w:rPr>
      </w:pPr>
      <w:r>
        <w:rPr>
          <w:sz w:val="18"/>
        </w:rPr>
        <w:t>The definitions that follow were developed to clarify terms and concepts used in this rubric only.</w:t>
      </w:r>
    </w:p>
    <w:p w:rsidR="00E4314F" w:rsidRPr="005A43AA" w:rsidRDefault="00E4314F" w:rsidP="00E4314F">
      <w:pPr>
        <w:pStyle w:val="ColorfulList-Accent1"/>
        <w:numPr>
          <w:ilvl w:val="0"/>
          <w:numId w:val="1"/>
        </w:numPr>
        <w:rPr>
          <w:sz w:val="18"/>
        </w:rPr>
      </w:pPr>
      <w:r w:rsidRPr="007218C6">
        <w:rPr>
          <w:b/>
          <w:sz w:val="18"/>
        </w:rPr>
        <w:t>Content development</w:t>
      </w:r>
      <w:r w:rsidRPr="005A43AA">
        <w:rPr>
          <w:sz w:val="18"/>
        </w:rPr>
        <w:t>: The ways in which the text explores and represents its topic in relation to its audience and purpose.</w:t>
      </w:r>
    </w:p>
    <w:p w:rsidR="00E4314F" w:rsidRPr="005A43AA" w:rsidRDefault="00E4314F" w:rsidP="00E4314F">
      <w:pPr>
        <w:pStyle w:val="ColorfulList-Accent1"/>
        <w:numPr>
          <w:ilvl w:val="0"/>
          <w:numId w:val="1"/>
        </w:numPr>
        <w:rPr>
          <w:sz w:val="18"/>
        </w:rPr>
      </w:pPr>
      <w:r w:rsidRPr="007218C6">
        <w:rPr>
          <w:b/>
          <w:sz w:val="18"/>
        </w:rPr>
        <w:t>Context of and purpose for writing</w:t>
      </w:r>
      <w:r w:rsidRPr="005A43AA">
        <w:rPr>
          <w:sz w:val="18"/>
        </w:rPr>
        <w:t xml:space="preserve">: The context of writing is the situation surrounding a text: </w:t>
      </w:r>
      <w:r>
        <w:rPr>
          <w:sz w:val="18"/>
        </w:rPr>
        <w:t>W</w:t>
      </w:r>
      <w:r w:rsidRPr="005A43AA">
        <w:rPr>
          <w:sz w:val="18"/>
        </w:rPr>
        <w:t xml:space="preserve">ho is reading it? Who is writing it? Under what circumstances will the text be shared or </w:t>
      </w:r>
      <w:proofErr w:type="gramStart"/>
      <w:r w:rsidRPr="005A43AA">
        <w:rPr>
          <w:sz w:val="18"/>
        </w:rPr>
        <w:t>circulated</w:t>
      </w:r>
      <w:proofErr w:type="gramEnd"/>
      <w:r w:rsidRPr="005A43AA">
        <w:rPr>
          <w:sz w:val="18"/>
        </w:rPr>
        <w:t>?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rsidR="00E4314F" w:rsidRDefault="00E4314F" w:rsidP="00E4314F">
      <w:pPr>
        <w:pStyle w:val="ColorfulList-Accent1"/>
        <w:numPr>
          <w:ilvl w:val="0"/>
          <w:numId w:val="1"/>
        </w:numPr>
        <w:rPr>
          <w:sz w:val="18"/>
        </w:rPr>
      </w:pPr>
      <w:r w:rsidRPr="007218C6">
        <w:rPr>
          <w:b/>
          <w:sz w:val="18"/>
        </w:rPr>
        <w:t>Disciplinary conventions</w:t>
      </w:r>
      <w:r w:rsidRPr="005A43AA">
        <w:rPr>
          <w:sz w:val="18"/>
        </w:rPr>
        <w:t xml:space="preserve">: </w:t>
      </w:r>
      <w:r>
        <w:rPr>
          <w:sz w:val="18"/>
        </w:rPr>
        <w:t xml:space="preserve">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w:t>
      </w:r>
      <w:r>
        <w:rPr>
          <w:sz w:val="18"/>
        </w:rPr>
        <w:lastRenderedPageBreak/>
        <w:t>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rsidR="00E4314F" w:rsidRDefault="00E4314F" w:rsidP="00E4314F">
      <w:pPr>
        <w:pStyle w:val="ColorfulList-Accent1"/>
        <w:numPr>
          <w:ilvl w:val="0"/>
          <w:numId w:val="1"/>
        </w:numPr>
        <w:rPr>
          <w:sz w:val="18"/>
        </w:rPr>
      </w:pPr>
      <w:r w:rsidRPr="007218C6">
        <w:rPr>
          <w:b/>
          <w:sz w:val="18"/>
        </w:rPr>
        <w:t>Evidence</w:t>
      </w:r>
      <w:r>
        <w:rPr>
          <w:sz w:val="18"/>
        </w:rPr>
        <w:t>: Source material that is used to extend, in purposeful ways, writers’ ideas in a text.</w:t>
      </w:r>
    </w:p>
    <w:p w:rsidR="00E4314F" w:rsidRDefault="00E4314F" w:rsidP="00E4314F">
      <w:pPr>
        <w:pStyle w:val="ColorfulList-Accent1"/>
        <w:numPr>
          <w:ilvl w:val="0"/>
          <w:numId w:val="1"/>
        </w:numPr>
        <w:rPr>
          <w:sz w:val="18"/>
        </w:rPr>
      </w:pPr>
      <w:r w:rsidRPr="007218C6">
        <w:rPr>
          <w:b/>
          <w:sz w:val="18"/>
        </w:rPr>
        <w:t>Genre conventions</w:t>
      </w:r>
      <w:r>
        <w:rPr>
          <w:sz w:val="18"/>
        </w:rPr>
        <w:t>: Formal and informal rules for particular kinds of texts and/or media that guide formatting, organization, and stylistic choices, e.g., lab reports, academic papers, poetry, webpages, or personal essays.</w:t>
      </w:r>
    </w:p>
    <w:p w:rsidR="00E4314F" w:rsidRDefault="00E4314F" w:rsidP="00E4314F">
      <w:pPr>
        <w:pStyle w:val="ColorfulList-Accent1"/>
        <w:numPr>
          <w:ilvl w:val="0"/>
          <w:numId w:val="1"/>
        </w:numPr>
        <w:rPr>
          <w:sz w:val="18"/>
        </w:rPr>
      </w:pPr>
      <w:r w:rsidRPr="007218C6">
        <w:rPr>
          <w:b/>
          <w:sz w:val="18"/>
        </w:rPr>
        <w:t>Sources</w:t>
      </w:r>
      <w:r>
        <w:rPr>
          <w:sz w:val="18"/>
        </w:rPr>
        <w:t>: Texts (written, oral, behavioral, visual, or other) that writers draw on as they work for a variety of purposes—to extend, argue with, develop, define, or shape their ideas, for example.</w:t>
      </w:r>
    </w:p>
    <w:p w:rsidR="00E4314F" w:rsidRPr="00F62E68" w:rsidRDefault="00E4314F" w:rsidP="00F62E68">
      <w:pPr>
        <w:spacing w:after="0"/>
        <w:jc w:val="center"/>
        <w:rPr>
          <w:b/>
        </w:rPr>
      </w:pPr>
      <w:r w:rsidRPr="00CE5ED2">
        <w:rPr>
          <w:sz w:val="18"/>
        </w:rPr>
        <w:br w:type="page"/>
      </w:r>
      <w:r w:rsidR="00F62E68">
        <w:rPr>
          <w:b/>
        </w:rPr>
        <w:lastRenderedPageBreak/>
        <w:t>LLU STUDENT LEARNING OUTCOME WRITTEN COMMUNICATION RUBRIC</w:t>
      </w:r>
    </w:p>
    <w:p w:rsidR="00E4314F" w:rsidRPr="00141B10" w:rsidRDefault="00F62E68" w:rsidP="00E4314F">
      <w:pPr>
        <w:spacing w:after="0"/>
        <w:jc w:val="center"/>
        <w:rPr>
          <w:i/>
          <w:sz w:val="16"/>
        </w:rPr>
      </w:pPr>
      <w:proofErr w:type="gramStart"/>
      <w:r w:rsidRPr="001E4399">
        <w:rPr>
          <w:i/>
          <w:sz w:val="20"/>
          <w:szCs w:val="20"/>
        </w:rPr>
        <w:t xml:space="preserve">Based on the AAC&amp;U </w:t>
      </w:r>
      <w:r>
        <w:rPr>
          <w:i/>
          <w:sz w:val="20"/>
          <w:szCs w:val="20"/>
        </w:rPr>
        <w:t>Written Communication</w:t>
      </w:r>
      <w:r w:rsidRPr="001E4399">
        <w:rPr>
          <w:i/>
          <w:sz w:val="20"/>
          <w:szCs w:val="20"/>
        </w:rPr>
        <w:t xml:space="preserve"> VALUE Rubric</w:t>
      </w:r>
      <w:r>
        <w:t xml:space="preserve">, </w:t>
      </w:r>
      <w:hyperlink r:id="rId11" w:history="1">
        <w:r w:rsidR="00E4314F" w:rsidRPr="00DD0AF5">
          <w:rPr>
            <w:rStyle w:val="Hyperlink"/>
            <w:i/>
            <w:sz w:val="16"/>
          </w:rPr>
          <w:t>value@aacu.org</w:t>
        </w:r>
      </w:hyperlink>
      <w:r w:rsidR="00E4314F">
        <w:rPr>
          <w:i/>
          <w:sz w:val="16"/>
        </w:rPr>
        <w:t xml:space="preserve">, </w:t>
      </w:r>
      <w:hyperlink r:id="rId12" w:history="1">
        <w:r w:rsidR="00E4314F" w:rsidRPr="00DD0AF5">
          <w:rPr>
            <w:rStyle w:val="Hyperlink"/>
            <w:i/>
            <w:sz w:val="16"/>
          </w:rPr>
          <w:t>assessment@llu.edu</w:t>
        </w:r>
      </w:hyperlink>
      <w:r w:rsidR="00E4314F">
        <w:rPr>
          <w:i/>
          <w:sz w:val="16"/>
        </w:rPr>
        <w:t>, or see sites below</w:t>
      </w:r>
      <w:r w:rsidR="00E4314F">
        <w:rPr>
          <w:rStyle w:val="FootnoteReference"/>
          <w:i/>
          <w:sz w:val="16"/>
        </w:rPr>
        <w:footnoteReference w:id="2"/>
      </w:r>
      <w:r w:rsidR="00E4314F">
        <w:rPr>
          <w:i/>
          <w:sz w:val="16"/>
        </w:rPr>
        <w:t>.</w:t>
      </w:r>
      <w:proofErr w:type="gramEnd"/>
    </w:p>
    <w:p w:rsidR="00E4314F" w:rsidRDefault="00E4314F" w:rsidP="00E4314F">
      <w:pPr>
        <w:spacing w:after="0"/>
        <w:jc w:val="center"/>
        <w:rPr>
          <w:b/>
          <w:sz w:val="16"/>
        </w:rPr>
      </w:pPr>
    </w:p>
    <w:p w:rsidR="00E4314F" w:rsidRPr="00056E47" w:rsidRDefault="00E4314F" w:rsidP="00E4314F">
      <w:pPr>
        <w:spacing w:after="0"/>
        <w:jc w:val="center"/>
        <w:rPr>
          <w:rFonts w:ascii="font350" w:hAnsi="font350" w:cs="font350"/>
          <w:b/>
          <w:sz w:val="16"/>
          <w:szCs w:val="21"/>
        </w:rPr>
      </w:pPr>
      <w:r w:rsidRPr="00056E47">
        <w:rPr>
          <w:b/>
          <w:sz w:val="16"/>
        </w:rPr>
        <w:t>Definition</w:t>
      </w:r>
    </w:p>
    <w:p w:rsidR="00E4314F" w:rsidRDefault="00E4314F" w:rsidP="00E4314F">
      <w:pPr>
        <w:spacing w:after="0"/>
        <w:rPr>
          <w:sz w:val="18"/>
        </w:rPr>
      </w:pPr>
      <w:r>
        <w:rPr>
          <w:sz w:val="18"/>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E4314F" w:rsidRPr="00A52DF0" w:rsidRDefault="00E4314F" w:rsidP="00E4314F">
      <w:pPr>
        <w:spacing w:after="0"/>
        <w:rPr>
          <w:sz w:val="18"/>
        </w:rPr>
      </w:pPr>
    </w:p>
    <w:p w:rsidR="00E4314F" w:rsidRDefault="00E4314F" w:rsidP="00E4314F">
      <w:pPr>
        <w:spacing w:after="0"/>
        <w:jc w:val="center"/>
        <w:rPr>
          <w:i/>
          <w:sz w:val="18"/>
        </w:rPr>
      </w:pPr>
      <w:r w:rsidRPr="00A52DF0">
        <w:rPr>
          <w:i/>
          <w:sz w:val="18"/>
        </w:rPr>
        <w:t>Evaluators are encouraged to assign a zero to any work sample or collection o</w:t>
      </w:r>
      <w:r>
        <w:rPr>
          <w:i/>
          <w:sz w:val="18"/>
        </w:rPr>
        <w:t>f work that does not meet level-</w:t>
      </w:r>
      <w:r w:rsidRPr="00A52DF0">
        <w:rPr>
          <w:i/>
          <w:sz w:val="18"/>
        </w:rPr>
        <w:t>one performance.</w:t>
      </w:r>
    </w:p>
    <w:p w:rsidR="00E4314F" w:rsidRPr="00A52DF0" w:rsidRDefault="00E4314F" w:rsidP="00E4314F">
      <w:pPr>
        <w:spacing w:after="0"/>
        <w:jc w:val="center"/>
        <w:rPr>
          <w:i/>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39"/>
        <w:gridCol w:w="2739"/>
        <w:gridCol w:w="2739"/>
        <w:gridCol w:w="2739"/>
        <w:gridCol w:w="2742"/>
        <w:gridCol w:w="918"/>
      </w:tblGrid>
      <w:tr w:rsidR="00E4314F" w:rsidRPr="00E81391">
        <w:tc>
          <w:tcPr>
            <w:tcW w:w="937" w:type="pct"/>
          </w:tcPr>
          <w:p w:rsidR="00E4314F" w:rsidRPr="00E81391" w:rsidRDefault="00E4314F" w:rsidP="00E4314F">
            <w:pPr>
              <w:spacing w:after="0"/>
              <w:jc w:val="center"/>
              <w:rPr>
                <w:b/>
                <w:sz w:val="18"/>
              </w:rPr>
            </w:pPr>
          </w:p>
        </w:tc>
        <w:tc>
          <w:tcPr>
            <w:tcW w:w="937" w:type="pct"/>
          </w:tcPr>
          <w:p w:rsidR="00E4314F" w:rsidRPr="00E81391" w:rsidRDefault="00E4314F" w:rsidP="00E4314F">
            <w:pPr>
              <w:spacing w:after="0"/>
              <w:jc w:val="center"/>
              <w:rPr>
                <w:b/>
                <w:sz w:val="18"/>
              </w:rPr>
            </w:pPr>
            <w:r w:rsidRPr="00E81391">
              <w:rPr>
                <w:b/>
                <w:sz w:val="18"/>
              </w:rPr>
              <w:t>4</w:t>
            </w:r>
          </w:p>
        </w:tc>
        <w:tc>
          <w:tcPr>
            <w:tcW w:w="937" w:type="pct"/>
          </w:tcPr>
          <w:p w:rsidR="00E4314F" w:rsidRPr="00E81391" w:rsidRDefault="00E4314F" w:rsidP="00E4314F">
            <w:pPr>
              <w:spacing w:after="0"/>
              <w:jc w:val="center"/>
              <w:rPr>
                <w:b/>
                <w:sz w:val="18"/>
              </w:rPr>
            </w:pPr>
            <w:r w:rsidRPr="00E81391">
              <w:rPr>
                <w:b/>
                <w:sz w:val="18"/>
              </w:rPr>
              <w:t>3</w:t>
            </w:r>
          </w:p>
        </w:tc>
        <w:tc>
          <w:tcPr>
            <w:tcW w:w="937" w:type="pct"/>
          </w:tcPr>
          <w:p w:rsidR="00E4314F" w:rsidRPr="00E81391" w:rsidRDefault="00E4314F" w:rsidP="00E4314F">
            <w:pPr>
              <w:spacing w:after="0"/>
              <w:jc w:val="center"/>
              <w:rPr>
                <w:b/>
                <w:sz w:val="18"/>
              </w:rPr>
            </w:pPr>
            <w:r w:rsidRPr="00E81391">
              <w:rPr>
                <w:b/>
                <w:sz w:val="18"/>
              </w:rPr>
              <w:t>2</w:t>
            </w:r>
          </w:p>
        </w:tc>
        <w:tc>
          <w:tcPr>
            <w:tcW w:w="937" w:type="pct"/>
          </w:tcPr>
          <w:p w:rsidR="00E4314F" w:rsidRPr="00E81391" w:rsidRDefault="00E4314F" w:rsidP="00E4314F">
            <w:pPr>
              <w:spacing w:after="0"/>
              <w:jc w:val="center"/>
              <w:rPr>
                <w:b/>
                <w:sz w:val="18"/>
              </w:rPr>
            </w:pPr>
            <w:r w:rsidRPr="00E81391">
              <w:rPr>
                <w:b/>
                <w:sz w:val="18"/>
              </w:rPr>
              <w:t>1</w:t>
            </w:r>
          </w:p>
        </w:tc>
        <w:tc>
          <w:tcPr>
            <w:tcW w:w="314" w:type="pct"/>
          </w:tcPr>
          <w:p w:rsidR="00E4314F" w:rsidRPr="00E81391" w:rsidRDefault="00E4314F" w:rsidP="00E4314F">
            <w:pPr>
              <w:spacing w:after="0"/>
              <w:jc w:val="center"/>
              <w:rPr>
                <w:b/>
                <w:sz w:val="18"/>
              </w:rPr>
            </w:pPr>
            <w:r>
              <w:rPr>
                <w:b/>
                <w:sz w:val="18"/>
              </w:rPr>
              <w:t>Score</w:t>
            </w:r>
          </w:p>
        </w:tc>
      </w:tr>
      <w:tr w:rsidR="00E4314F" w:rsidRPr="00E81391">
        <w:tc>
          <w:tcPr>
            <w:tcW w:w="937" w:type="pct"/>
          </w:tcPr>
          <w:p w:rsidR="00E4314F" w:rsidRPr="00E81391" w:rsidRDefault="00E4314F" w:rsidP="00E4314F">
            <w:pPr>
              <w:spacing w:after="0"/>
              <w:rPr>
                <w:b/>
                <w:sz w:val="18"/>
              </w:rPr>
            </w:pPr>
            <w:r w:rsidRPr="00E81391">
              <w:rPr>
                <w:b/>
                <w:sz w:val="18"/>
              </w:rPr>
              <w:t>Context of and purpose for writing</w:t>
            </w:r>
          </w:p>
          <w:p w:rsidR="00E4314F" w:rsidRPr="00E81391" w:rsidRDefault="00E4314F" w:rsidP="00E4314F">
            <w:pPr>
              <w:spacing w:after="0"/>
              <w:rPr>
                <w:i/>
                <w:sz w:val="18"/>
              </w:rPr>
            </w:pPr>
            <w:r w:rsidRPr="00E81391">
              <w:rPr>
                <w:i/>
                <w:sz w:val="18"/>
              </w:rPr>
              <w:t>Includes considerations of audience, purpose, and the circumstances surrounding the writing task(s).</w:t>
            </w:r>
          </w:p>
        </w:tc>
        <w:tc>
          <w:tcPr>
            <w:tcW w:w="937" w:type="pct"/>
          </w:tcPr>
          <w:p w:rsidR="00E4314F" w:rsidRPr="00E81391" w:rsidRDefault="00E4314F" w:rsidP="00E4314F">
            <w:pPr>
              <w:spacing w:after="0"/>
              <w:rPr>
                <w:sz w:val="18"/>
              </w:rPr>
            </w:pPr>
            <w:r w:rsidRPr="00E81391">
              <w:rPr>
                <w:sz w:val="18"/>
              </w:rPr>
              <w:t>Demonstrates a thorough understanding of context, audience, and purpose that is responsive to the assigned task(s) and focuses all elements of the work.</w:t>
            </w:r>
          </w:p>
        </w:tc>
        <w:tc>
          <w:tcPr>
            <w:tcW w:w="937" w:type="pct"/>
          </w:tcPr>
          <w:p w:rsidR="00E4314F" w:rsidRPr="00E81391" w:rsidRDefault="00E4314F" w:rsidP="00E4314F">
            <w:pPr>
              <w:spacing w:after="0"/>
              <w:rPr>
                <w:sz w:val="18"/>
              </w:rPr>
            </w:pPr>
            <w:r w:rsidRPr="00E81391">
              <w:rPr>
                <w:sz w:val="18"/>
              </w:rPr>
              <w:t xml:space="preserve">Demonstrates adequate consideration of context, audience, and purpose and a clear focus on the assigned task(s) (e.g., the task aligns with audience, purpose, and context). </w:t>
            </w:r>
          </w:p>
        </w:tc>
        <w:tc>
          <w:tcPr>
            <w:tcW w:w="937" w:type="pct"/>
          </w:tcPr>
          <w:p w:rsidR="00E4314F" w:rsidRPr="00E81391" w:rsidRDefault="00E4314F" w:rsidP="00E4314F">
            <w:pPr>
              <w:spacing w:after="0"/>
              <w:rPr>
                <w:sz w:val="18"/>
              </w:rPr>
            </w:pPr>
            <w:r w:rsidRPr="00E81391">
              <w:rPr>
                <w:sz w:val="18"/>
              </w:rPr>
              <w:t>Demonstrates awareness of context audience, purpose, and to the assigned task(s) (e.g., begins to show awareness of audience’s perceptions and assumptions).</w:t>
            </w:r>
          </w:p>
        </w:tc>
        <w:tc>
          <w:tcPr>
            <w:tcW w:w="937" w:type="pct"/>
          </w:tcPr>
          <w:p w:rsidR="00E4314F" w:rsidRPr="00E81391" w:rsidRDefault="00E4314F" w:rsidP="00E4314F">
            <w:pPr>
              <w:spacing w:after="0"/>
              <w:rPr>
                <w:sz w:val="18"/>
              </w:rPr>
            </w:pPr>
            <w:r w:rsidRPr="00E81391">
              <w:rPr>
                <w:sz w:val="18"/>
              </w:rPr>
              <w:t>Demonstrates minimal attention to context, audience, purpose, and to the assigned task(s) (e.g., expectation of instructor or self as audience).</w:t>
            </w:r>
          </w:p>
        </w:tc>
        <w:tc>
          <w:tcPr>
            <w:tcW w:w="314" w:type="pct"/>
          </w:tcPr>
          <w:p w:rsidR="00E4314F" w:rsidRPr="00E81391" w:rsidRDefault="00E4314F" w:rsidP="00E4314F">
            <w:pPr>
              <w:spacing w:after="0"/>
              <w:rPr>
                <w:sz w:val="18"/>
              </w:rPr>
            </w:pPr>
          </w:p>
        </w:tc>
      </w:tr>
      <w:tr w:rsidR="00E4314F" w:rsidRPr="00E81391">
        <w:tc>
          <w:tcPr>
            <w:tcW w:w="937" w:type="pct"/>
          </w:tcPr>
          <w:p w:rsidR="00E4314F" w:rsidRPr="00E81391" w:rsidRDefault="00E4314F" w:rsidP="00E4314F">
            <w:pPr>
              <w:spacing w:after="0"/>
              <w:rPr>
                <w:b/>
                <w:sz w:val="18"/>
              </w:rPr>
            </w:pPr>
            <w:r w:rsidRPr="00E81391">
              <w:rPr>
                <w:b/>
                <w:sz w:val="18"/>
              </w:rPr>
              <w:t>Content development</w:t>
            </w:r>
          </w:p>
        </w:tc>
        <w:tc>
          <w:tcPr>
            <w:tcW w:w="937" w:type="pct"/>
          </w:tcPr>
          <w:p w:rsidR="00E4314F" w:rsidRPr="00E81391" w:rsidRDefault="00E4314F" w:rsidP="00E4314F">
            <w:pPr>
              <w:spacing w:after="0"/>
              <w:rPr>
                <w:sz w:val="18"/>
              </w:rPr>
            </w:pPr>
            <w:r w:rsidRPr="00E81391">
              <w:rPr>
                <w:sz w:val="18"/>
              </w:rPr>
              <w:t>Uses appropriate, relevant, and compelling content to illustrate mastery of the subject, conveying the writer’s understanding, and shaping the whole work.</w:t>
            </w:r>
          </w:p>
        </w:tc>
        <w:tc>
          <w:tcPr>
            <w:tcW w:w="937" w:type="pct"/>
          </w:tcPr>
          <w:p w:rsidR="00E4314F" w:rsidRPr="00E81391" w:rsidRDefault="00E4314F" w:rsidP="00E4314F">
            <w:pPr>
              <w:spacing w:after="0"/>
              <w:rPr>
                <w:sz w:val="18"/>
              </w:rPr>
            </w:pPr>
            <w:r w:rsidRPr="00E81391">
              <w:rPr>
                <w:sz w:val="18"/>
              </w:rPr>
              <w:t>Uses appropriate, relevant, and compelling content to explore ideas within the context of the discipline and shape the whole work.</w:t>
            </w:r>
          </w:p>
        </w:tc>
        <w:tc>
          <w:tcPr>
            <w:tcW w:w="937" w:type="pct"/>
          </w:tcPr>
          <w:p w:rsidR="00E4314F" w:rsidRPr="00E81391" w:rsidRDefault="00E4314F" w:rsidP="00E4314F">
            <w:pPr>
              <w:spacing w:after="0"/>
              <w:rPr>
                <w:sz w:val="18"/>
              </w:rPr>
            </w:pPr>
            <w:r w:rsidRPr="00E81391">
              <w:rPr>
                <w:sz w:val="18"/>
              </w:rPr>
              <w:t xml:space="preserve">Uses appropriate and relevant content to develop and explore ideas through most of the work. </w:t>
            </w:r>
          </w:p>
        </w:tc>
        <w:tc>
          <w:tcPr>
            <w:tcW w:w="937" w:type="pct"/>
          </w:tcPr>
          <w:p w:rsidR="00E4314F" w:rsidRPr="00E81391" w:rsidRDefault="00E4314F" w:rsidP="00E4314F">
            <w:pPr>
              <w:spacing w:after="0"/>
              <w:rPr>
                <w:sz w:val="18"/>
              </w:rPr>
            </w:pPr>
            <w:r w:rsidRPr="00E81391">
              <w:rPr>
                <w:sz w:val="18"/>
              </w:rPr>
              <w:t>Uses appropriate and relevant content to develop simple ideas in some parts of the work.</w:t>
            </w:r>
          </w:p>
        </w:tc>
        <w:tc>
          <w:tcPr>
            <w:tcW w:w="314" w:type="pct"/>
          </w:tcPr>
          <w:p w:rsidR="00E4314F" w:rsidRPr="00E81391" w:rsidRDefault="00E4314F" w:rsidP="00E4314F">
            <w:pPr>
              <w:spacing w:after="0"/>
              <w:rPr>
                <w:sz w:val="18"/>
              </w:rPr>
            </w:pPr>
          </w:p>
        </w:tc>
      </w:tr>
      <w:tr w:rsidR="00E4314F" w:rsidRPr="00E81391">
        <w:tc>
          <w:tcPr>
            <w:tcW w:w="937" w:type="pct"/>
          </w:tcPr>
          <w:p w:rsidR="00E4314F" w:rsidRPr="00E81391" w:rsidRDefault="00E4314F" w:rsidP="00E4314F">
            <w:pPr>
              <w:spacing w:after="0"/>
              <w:rPr>
                <w:b/>
                <w:sz w:val="18"/>
              </w:rPr>
            </w:pPr>
            <w:r w:rsidRPr="00E81391">
              <w:rPr>
                <w:b/>
                <w:sz w:val="18"/>
              </w:rPr>
              <w:t>Genre and disciplinary conventions</w:t>
            </w:r>
          </w:p>
          <w:p w:rsidR="00E4314F" w:rsidRPr="00E81391" w:rsidRDefault="00E4314F" w:rsidP="00E4314F">
            <w:pPr>
              <w:spacing w:after="0"/>
              <w:rPr>
                <w:i/>
                <w:sz w:val="18"/>
              </w:rPr>
            </w:pPr>
            <w:r w:rsidRPr="00E81391">
              <w:rPr>
                <w:i/>
                <w:sz w:val="18"/>
              </w:rPr>
              <w:t>Formal and informal rules inherent in the expectations for writing in particular forms and/or academic fields (please see glossary).</w:t>
            </w:r>
          </w:p>
        </w:tc>
        <w:tc>
          <w:tcPr>
            <w:tcW w:w="937" w:type="pct"/>
          </w:tcPr>
          <w:p w:rsidR="00E4314F" w:rsidRPr="00E81391" w:rsidRDefault="00E4314F" w:rsidP="00E4314F">
            <w:pPr>
              <w:spacing w:after="0"/>
              <w:rPr>
                <w:sz w:val="18"/>
              </w:rPr>
            </w:pPr>
            <w:r w:rsidRPr="00E81391">
              <w:rPr>
                <w:sz w:val="18"/>
              </w:rPr>
              <w:t>Demonstrates detailed attention to and successful execution of a wide range of conventions particular to a specific discipline and/or writing task(s) including organization, content, presentation, formatting, and stylistic choices.</w:t>
            </w:r>
          </w:p>
        </w:tc>
        <w:tc>
          <w:tcPr>
            <w:tcW w:w="937" w:type="pct"/>
          </w:tcPr>
          <w:p w:rsidR="00E4314F" w:rsidRPr="00E81391" w:rsidRDefault="00E4314F" w:rsidP="00E4314F">
            <w:pPr>
              <w:spacing w:after="0"/>
              <w:rPr>
                <w:sz w:val="18"/>
              </w:rPr>
            </w:pPr>
            <w:r w:rsidRPr="00E81391">
              <w:rPr>
                <w:sz w:val="18"/>
              </w:rPr>
              <w:t>Demonstrates consistent use of important conventions particular to a specific discipline and/or writing task(s), including organization, content, presentation, and stylistic choices.</w:t>
            </w:r>
          </w:p>
        </w:tc>
        <w:tc>
          <w:tcPr>
            <w:tcW w:w="937" w:type="pct"/>
          </w:tcPr>
          <w:p w:rsidR="00E4314F" w:rsidRPr="00E81391" w:rsidRDefault="00E4314F" w:rsidP="00E4314F">
            <w:pPr>
              <w:spacing w:after="0"/>
              <w:rPr>
                <w:sz w:val="18"/>
              </w:rPr>
            </w:pPr>
            <w:r w:rsidRPr="00E81391">
              <w:rPr>
                <w:sz w:val="18"/>
              </w:rPr>
              <w:t>Follows expectations appropriate to a specific discipline and/or writing task(s) for basic organization, content, and presentation.</w:t>
            </w:r>
          </w:p>
        </w:tc>
        <w:tc>
          <w:tcPr>
            <w:tcW w:w="937" w:type="pct"/>
          </w:tcPr>
          <w:p w:rsidR="00E4314F" w:rsidRPr="00E81391" w:rsidRDefault="00E4314F" w:rsidP="00E4314F">
            <w:pPr>
              <w:spacing w:after="0"/>
              <w:rPr>
                <w:sz w:val="18"/>
              </w:rPr>
            </w:pPr>
            <w:r w:rsidRPr="00E81391">
              <w:rPr>
                <w:sz w:val="18"/>
              </w:rPr>
              <w:t>Attempts to use a consistent system for basic organization and presentation.</w:t>
            </w:r>
          </w:p>
        </w:tc>
        <w:tc>
          <w:tcPr>
            <w:tcW w:w="314" w:type="pct"/>
          </w:tcPr>
          <w:p w:rsidR="00E4314F" w:rsidRPr="00E81391" w:rsidRDefault="00E4314F" w:rsidP="00E4314F">
            <w:pPr>
              <w:spacing w:after="0"/>
              <w:rPr>
                <w:sz w:val="18"/>
              </w:rPr>
            </w:pPr>
          </w:p>
        </w:tc>
      </w:tr>
      <w:tr w:rsidR="00E4314F" w:rsidRPr="00E81391">
        <w:tc>
          <w:tcPr>
            <w:tcW w:w="937" w:type="pct"/>
          </w:tcPr>
          <w:p w:rsidR="00E4314F" w:rsidRPr="00E81391" w:rsidRDefault="00E4314F" w:rsidP="00E4314F">
            <w:pPr>
              <w:spacing w:after="0"/>
              <w:rPr>
                <w:b/>
                <w:sz w:val="18"/>
              </w:rPr>
            </w:pPr>
            <w:r w:rsidRPr="00E81391">
              <w:rPr>
                <w:b/>
                <w:sz w:val="18"/>
              </w:rPr>
              <w:t>Sources and evidence</w:t>
            </w:r>
          </w:p>
        </w:tc>
        <w:tc>
          <w:tcPr>
            <w:tcW w:w="937" w:type="pct"/>
          </w:tcPr>
          <w:p w:rsidR="00E4314F" w:rsidRPr="00E81391" w:rsidRDefault="00E4314F" w:rsidP="00E4314F">
            <w:pPr>
              <w:spacing w:after="0"/>
              <w:rPr>
                <w:sz w:val="18"/>
              </w:rPr>
            </w:pPr>
            <w:r w:rsidRPr="00E81391">
              <w:rPr>
                <w:sz w:val="18"/>
              </w:rPr>
              <w:t>Demonstrates skillful use of high quality, credible, relevant sources to develop ideas that are appropriate for the discipline and genre of the writing.</w:t>
            </w:r>
          </w:p>
        </w:tc>
        <w:tc>
          <w:tcPr>
            <w:tcW w:w="937" w:type="pct"/>
          </w:tcPr>
          <w:p w:rsidR="00E4314F" w:rsidRPr="00E81391" w:rsidRDefault="00E4314F" w:rsidP="00E4314F">
            <w:pPr>
              <w:spacing w:after="0"/>
              <w:rPr>
                <w:sz w:val="18"/>
              </w:rPr>
            </w:pPr>
            <w:r w:rsidRPr="00E81391">
              <w:rPr>
                <w:sz w:val="18"/>
              </w:rPr>
              <w:t>Demonstrates consistent use of credible, relevant sources to support ideas that are situated within the discipline and genre of the writing.</w:t>
            </w:r>
          </w:p>
        </w:tc>
        <w:tc>
          <w:tcPr>
            <w:tcW w:w="937" w:type="pct"/>
          </w:tcPr>
          <w:p w:rsidR="00E4314F" w:rsidRPr="00E81391" w:rsidRDefault="00E4314F" w:rsidP="00E4314F">
            <w:pPr>
              <w:spacing w:after="0"/>
              <w:rPr>
                <w:sz w:val="18"/>
              </w:rPr>
            </w:pPr>
            <w:r w:rsidRPr="00E81391">
              <w:rPr>
                <w:sz w:val="18"/>
              </w:rPr>
              <w:t>Demonstrates an attempt to use credible and/or relevant sources to support ideas that are appropriate for the discipline and genre of the writing.</w:t>
            </w:r>
          </w:p>
        </w:tc>
        <w:tc>
          <w:tcPr>
            <w:tcW w:w="937" w:type="pct"/>
          </w:tcPr>
          <w:p w:rsidR="00E4314F" w:rsidRPr="00E81391" w:rsidRDefault="00E4314F" w:rsidP="00E4314F">
            <w:pPr>
              <w:spacing w:after="0"/>
              <w:rPr>
                <w:sz w:val="18"/>
              </w:rPr>
            </w:pPr>
            <w:r w:rsidRPr="00E81391">
              <w:rPr>
                <w:sz w:val="18"/>
              </w:rPr>
              <w:t>Demonstrates an attempt to use sources to support ideas in the writing.</w:t>
            </w:r>
          </w:p>
        </w:tc>
        <w:tc>
          <w:tcPr>
            <w:tcW w:w="314" w:type="pct"/>
          </w:tcPr>
          <w:p w:rsidR="00E4314F" w:rsidRPr="00E81391" w:rsidRDefault="00E4314F" w:rsidP="00E4314F">
            <w:pPr>
              <w:spacing w:after="0"/>
              <w:rPr>
                <w:sz w:val="18"/>
              </w:rPr>
            </w:pPr>
          </w:p>
        </w:tc>
      </w:tr>
      <w:tr w:rsidR="00E4314F" w:rsidRPr="00E81391">
        <w:tc>
          <w:tcPr>
            <w:tcW w:w="937" w:type="pct"/>
          </w:tcPr>
          <w:p w:rsidR="00E4314F" w:rsidRPr="00E81391" w:rsidRDefault="00E4314F" w:rsidP="00E4314F">
            <w:pPr>
              <w:spacing w:after="0"/>
              <w:rPr>
                <w:b/>
                <w:sz w:val="18"/>
              </w:rPr>
            </w:pPr>
            <w:r w:rsidRPr="00E81391">
              <w:rPr>
                <w:b/>
                <w:sz w:val="18"/>
              </w:rPr>
              <w:t>Control of syntax and mechanics</w:t>
            </w:r>
          </w:p>
        </w:tc>
        <w:tc>
          <w:tcPr>
            <w:tcW w:w="937" w:type="pct"/>
          </w:tcPr>
          <w:p w:rsidR="00E4314F" w:rsidRPr="00E81391" w:rsidRDefault="00E4314F" w:rsidP="00E4314F">
            <w:pPr>
              <w:spacing w:after="0"/>
              <w:rPr>
                <w:sz w:val="18"/>
              </w:rPr>
            </w:pPr>
            <w:r w:rsidRPr="00E81391">
              <w:rPr>
                <w:sz w:val="18"/>
              </w:rPr>
              <w:t>Uses graceful language that skillfully communicates meaning to readers with clarity and fluency, and its virtually error-free.</w:t>
            </w:r>
          </w:p>
        </w:tc>
        <w:tc>
          <w:tcPr>
            <w:tcW w:w="937" w:type="pct"/>
          </w:tcPr>
          <w:p w:rsidR="00E4314F" w:rsidRPr="00E81391" w:rsidRDefault="00E4314F" w:rsidP="00E4314F">
            <w:pPr>
              <w:spacing w:after="0"/>
              <w:rPr>
                <w:sz w:val="18"/>
              </w:rPr>
            </w:pPr>
            <w:r w:rsidRPr="00E81391">
              <w:rPr>
                <w:sz w:val="18"/>
              </w:rPr>
              <w:t>Uses straightforward language that generally conveys meaning to readers. The language in the portfolio has few errors.</w:t>
            </w:r>
          </w:p>
        </w:tc>
        <w:tc>
          <w:tcPr>
            <w:tcW w:w="937" w:type="pct"/>
          </w:tcPr>
          <w:p w:rsidR="00E4314F" w:rsidRPr="00E81391" w:rsidRDefault="00E4314F" w:rsidP="00E4314F">
            <w:pPr>
              <w:spacing w:after="0"/>
              <w:rPr>
                <w:sz w:val="18"/>
              </w:rPr>
            </w:pPr>
            <w:r w:rsidRPr="00E81391">
              <w:rPr>
                <w:sz w:val="18"/>
              </w:rPr>
              <w:t xml:space="preserve">Uses language that generally conveys meaning to readers with clarity, although writing may include some errors. </w:t>
            </w:r>
          </w:p>
        </w:tc>
        <w:tc>
          <w:tcPr>
            <w:tcW w:w="937" w:type="pct"/>
          </w:tcPr>
          <w:p w:rsidR="00E4314F" w:rsidRPr="00E81391" w:rsidRDefault="00E4314F" w:rsidP="00E4314F">
            <w:pPr>
              <w:spacing w:after="0"/>
              <w:rPr>
                <w:sz w:val="18"/>
              </w:rPr>
            </w:pPr>
            <w:r w:rsidRPr="00E81391">
              <w:rPr>
                <w:sz w:val="18"/>
              </w:rPr>
              <w:t>Uses language that sometimes impedes meaning because of errors in usage.</w:t>
            </w:r>
          </w:p>
        </w:tc>
        <w:tc>
          <w:tcPr>
            <w:tcW w:w="314" w:type="pct"/>
          </w:tcPr>
          <w:p w:rsidR="00E4314F" w:rsidRPr="00E81391" w:rsidRDefault="00E4314F" w:rsidP="00E4314F">
            <w:pPr>
              <w:spacing w:after="0"/>
              <w:rPr>
                <w:sz w:val="18"/>
              </w:rPr>
            </w:pPr>
          </w:p>
        </w:tc>
      </w:tr>
      <w:tr w:rsidR="00E4314F" w:rsidRPr="00E81391">
        <w:tc>
          <w:tcPr>
            <w:tcW w:w="4686" w:type="pct"/>
            <w:gridSpan w:val="5"/>
          </w:tcPr>
          <w:p w:rsidR="00E4314F" w:rsidRPr="006A67F6" w:rsidRDefault="00E4314F" w:rsidP="00E4314F">
            <w:pPr>
              <w:spacing w:after="0"/>
              <w:jc w:val="right"/>
              <w:rPr>
                <w:b/>
                <w:sz w:val="18"/>
              </w:rPr>
            </w:pPr>
            <w:r w:rsidRPr="006A67F6">
              <w:rPr>
                <w:b/>
                <w:sz w:val="18"/>
              </w:rPr>
              <w:t>Tota</w:t>
            </w:r>
            <w:r>
              <w:rPr>
                <w:b/>
                <w:sz w:val="18"/>
              </w:rPr>
              <w:t>l</w:t>
            </w:r>
          </w:p>
        </w:tc>
        <w:tc>
          <w:tcPr>
            <w:tcW w:w="314" w:type="pct"/>
          </w:tcPr>
          <w:p w:rsidR="00E4314F" w:rsidRDefault="00E4314F" w:rsidP="00E4314F">
            <w:pPr>
              <w:spacing w:after="0"/>
              <w:rPr>
                <w:sz w:val="18"/>
              </w:rPr>
            </w:pPr>
          </w:p>
          <w:p w:rsidR="00E4314F" w:rsidRPr="00E81391" w:rsidRDefault="00E4314F" w:rsidP="00E4314F">
            <w:pPr>
              <w:spacing w:after="0"/>
              <w:rPr>
                <w:sz w:val="18"/>
              </w:rPr>
            </w:pPr>
          </w:p>
        </w:tc>
      </w:tr>
    </w:tbl>
    <w:p w:rsidR="00E4314F" w:rsidRDefault="00E4314F" w:rsidP="00E4314F">
      <w:pPr>
        <w:rPr>
          <w:sz w:val="18"/>
        </w:rPr>
      </w:pPr>
    </w:p>
    <w:p w:rsidR="00E4314F" w:rsidRDefault="00E4314F" w:rsidP="00E4314F">
      <w:pPr>
        <w:rPr>
          <w:sz w:val="18"/>
        </w:rPr>
      </w:pPr>
      <w:r w:rsidRPr="0062284A">
        <w:rPr>
          <w:b/>
          <w:sz w:val="18"/>
        </w:rPr>
        <w:t>Name</w:t>
      </w:r>
      <w:r w:rsidRPr="006371AD">
        <w:rPr>
          <w:b/>
          <w:sz w:val="18"/>
        </w:rPr>
        <w:t>:</w:t>
      </w:r>
      <w:r w:rsidRPr="0024520A">
        <w:rPr>
          <w:sz w:val="18"/>
        </w:rPr>
        <w:t xml:space="preserve"> ________________________________________________</w:t>
      </w:r>
      <w:r>
        <w:rPr>
          <w:sz w:val="18"/>
        </w:rPr>
        <w:t xml:space="preserve"> </w:t>
      </w:r>
      <w:r w:rsidRPr="0062284A">
        <w:rPr>
          <w:b/>
          <w:sz w:val="18"/>
        </w:rPr>
        <w:t>Date</w:t>
      </w:r>
      <w:r>
        <w:rPr>
          <w:sz w:val="18"/>
        </w:rPr>
        <w:t xml:space="preserve">: _______________ </w:t>
      </w:r>
      <w:r w:rsidRPr="0062284A">
        <w:rPr>
          <w:b/>
          <w:sz w:val="18"/>
        </w:rPr>
        <w:t>Instructor/Evaluator</w:t>
      </w:r>
      <w:r>
        <w:rPr>
          <w:b/>
          <w:sz w:val="18"/>
        </w:rPr>
        <w:t>:</w:t>
      </w:r>
      <w:r>
        <w:rPr>
          <w:sz w:val="18"/>
        </w:rPr>
        <w:t xml:space="preserve"> _________________________________ </w:t>
      </w:r>
      <w:r w:rsidRPr="0062284A">
        <w:rPr>
          <w:b/>
          <w:sz w:val="18"/>
        </w:rPr>
        <w:t>Course</w:t>
      </w:r>
      <w:r w:rsidRPr="006371AD">
        <w:rPr>
          <w:b/>
          <w:sz w:val="18"/>
        </w:rPr>
        <w:t>:</w:t>
      </w:r>
      <w:r>
        <w:rPr>
          <w:sz w:val="18"/>
        </w:rPr>
        <w:t xml:space="preserve"> ________________________</w:t>
      </w:r>
    </w:p>
    <w:p w:rsidR="00E4314F" w:rsidRPr="0024520A" w:rsidRDefault="00E4314F" w:rsidP="00E4314F">
      <w:pPr>
        <w:rPr>
          <w:sz w:val="18"/>
        </w:rPr>
      </w:pPr>
      <w:r w:rsidRPr="001E6733">
        <w:rPr>
          <w:b/>
          <w:sz w:val="18"/>
        </w:rPr>
        <w:t>Comments</w:t>
      </w:r>
      <w:r w:rsidRPr="006371AD">
        <w:rPr>
          <w:b/>
          <w:sz w:val="18"/>
        </w:rPr>
        <w:t>:</w:t>
      </w:r>
      <w:r>
        <w:rPr>
          <w:sz w:val="18"/>
        </w:rPr>
        <w:t xml:space="preserve"> _____________________________________________________________________________________________________________________________________________________</w:t>
      </w:r>
    </w:p>
    <w:p w:rsidR="00E4314F" w:rsidRPr="00567A01" w:rsidRDefault="00E4314F" w:rsidP="00E4314F">
      <w:pPr>
        <w:rPr>
          <w:sz w:val="18"/>
        </w:rPr>
      </w:pPr>
    </w:p>
    <w:sectPr w:rsidR="00E4314F" w:rsidRPr="00567A01" w:rsidSect="00E4314F">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7B" w:rsidRDefault="00CD447B">
      <w:pPr>
        <w:spacing w:after="0"/>
      </w:pPr>
      <w:r>
        <w:separator/>
      </w:r>
    </w:p>
  </w:endnote>
  <w:endnote w:type="continuationSeparator" w:id="0">
    <w:p w:rsidR="00CD447B" w:rsidRDefault="00CD44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nt350">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7B" w:rsidRDefault="00CD447B">
      <w:pPr>
        <w:spacing w:after="0"/>
      </w:pPr>
      <w:r>
        <w:separator/>
      </w:r>
    </w:p>
  </w:footnote>
  <w:footnote w:type="continuationSeparator" w:id="0">
    <w:p w:rsidR="00CD447B" w:rsidRDefault="00CD447B">
      <w:pPr>
        <w:spacing w:after="0"/>
      </w:pPr>
      <w:r>
        <w:continuationSeparator/>
      </w:r>
    </w:p>
  </w:footnote>
  <w:footnote w:id="1">
    <w:p w:rsidR="00E4314F" w:rsidRPr="00191390" w:rsidRDefault="00E4314F" w:rsidP="00E4314F">
      <w:pPr>
        <w:pStyle w:val="FootnoteText"/>
        <w:rPr>
          <w:sz w:val="18"/>
        </w:rPr>
      </w:pPr>
      <w:r w:rsidRPr="00191390">
        <w:rPr>
          <w:rStyle w:val="FootnoteReference"/>
          <w:sz w:val="18"/>
        </w:rPr>
        <w:footnoteRef/>
      </w:r>
      <w:r w:rsidRPr="00191390">
        <w:rPr>
          <w:sz w:val="18"/>
        </w:rPr>
        <w:t xml:space="preserve"> AAC&amp;U - </w:t>
      </w:r>
      <w:hyperlink r:id="rId1" w:history="1">
        <w:r w:rsidRPr="00AC4686">
          <w:rPr>
            <w:rStyle w:val="Hyperlink"/>
            <w:sz w:val="18"/>
          </w:rPr>
          <w:t>http://www.aacu.org/value/metarubrics.cfm</w:t>
        </w:r>
      </w:hyperlink>
      <w:r>
        <w:rPr>
          <w:sz w:val="18"/>
        </w:rPr>
        <w:t xml:space="preserve">; LLU Office of Educational Effectiveness - </w:t>
      </w:r>
      <w:hyperlink r:id="rId2" w:history="1">
        <w:r w:rsidRPr="00AC4686">
          <w:rPr>
            <w:rStyle w:val="Hyperlink"/>
            <w:sz w:val="18"/>
          </w:rPr>
          <w:t>http://www.llu.edu/central/assessment/index.page</w:t>
        </w:r>
      </w:hyperlink>
      <w:r>
        <w:rPr>
          <w:sz w:val="18"/>
        </w:rPr>
        <w:t xml:space="preserve"> </w:t>
      </w:r>
    </w:p>
  </w:footnote>
  <w:footnote w:id="2">
    <w:p w:rsidR="00E4314F" w:rsidRPr="00191390" w:rsidRDefault="00E4314F" w:rsidP="00E4314F">
      <w:pPr>
        <w:pStyle w:val="FootnoteText"/>
        <w:rPr>
          <w:sz w:val="18"/>
        </w:rPr>
      </w:pPr>
      <w:r w:rsidRPr="00191390">
        <w:rPr>
          <w:rStyle w:val="FootnoteReference"/>
          <w:sz w:val="18"/>
        </w:rPr>
        <w:footnoteRef/>
      </w:r>
      <w:r w:rsidRPr="00191390">
        <w:rPr>
          <w:sz w:val="18"/>
        </w:rPr>
        <w:t xml:space="preserve"> AAC&amp;U - </w:t>
      </w:r>
      <w:hyperlink r:id="rId3" w:history="1">
        <w:r w:rsidRPr="00AC4686">
          <w:rPr>
            <w:rStyle w:val="Hyperlink"/>
            <w:sz w:val="18"/>
          </w:rPr>
          <w:t>http://www.aacu.org/value/metarubrics.cfm</w:t>
        </w:r>
      </w:hyperlink>
      <w:r>
        <w:rPr>
          <w:sz w:val="18"/>
        </w:rPr>
        <w:t xml:space="preserve">; LLU Office of Educational Effectiveness - </w:t>
      </w:r>
      <w:hyperlink r:id="rId4" w:history="1">
        <w:r w:rsidRPr="00AC4686">
          <w:rPr>
            <w:rStyle w:val="Hyperlink"/>
            <w:sz w:val="18"/>
          </w:rPr>
          <w:t>http://www.llu.edu/central/assessment/index.page</w:t>
        </w:r>
      </w:hyperlink>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29A"/>
    <w:multiLevelType w:val="hybridMultilevel"/>
    <w:tmpl w:val="B73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52428"/>
    <w:multiLevelType w:val="hybridMultilevel"/>
    <w:tmpl w:val="BC8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AE"/>
    <w:rsid w:val="003462DF"/>
    <w:rsid w:val="00501495"/>
    <w:rsid w:val="00A10942"/>
    <w:rsid w:val="00A87742"/>
    <w:rsid w:val="00CD447B"/>
    <w:rsid w:val="00DC5FC8"/>
    <w:rsid w:val="00E4314F"/>
    <w:rsid w:val="00F62E6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E60AE"/>
    <w:pPr>
      <w:spacing w:after="200"/>
    </w:pPr>
    <w:rPr>
      <w:rFonts w:ascii="Times New Roman" w:hAnsi="Times New Roman"/>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5E60AE"/>
    <w:rPr>
      <w:color w:val="0000FF"/>
      <w:u w:val="single"/>
    </w:rPr>
  </w:style>
  <w:style w:type="paragraph" w:styleId="FootnoteText">
    <w:name w:val="footnote text"/>
    <w:basedOn w:val="Normal"/>
    <w:link w:val="FootnoteTextChar"/>
    <w:uiPriority w:val="99"/>
    <w:semiHidden/>
    <w:unhideWhenUsed/>
    <w:rsid w:val="005E60AE"/>
    <w:pPr>
      <w:spacing w:after="0"/>
    </w:pPr>
  </w:style>
  <w:style w:type="character" w:customStyle="1" w:styleId="FootnoteTextChar">
    <w:name w:val="Footnote Text Char"/>
    <w:link w:val="FootnoteText"/>
    <w:uiPriority w:val="99"/>
    <w:semiHidden/>
    <w:rsid w:val="005E60AE"/>
    <w:rPr>
      <w:rFonts w:ascii="Times New Roman" w:hAnsi="Times New Roman"/>
      <w:sz w:val="24"/>
      <w:szCs w:val="24"/>
    </w:rPr>
  </w:style>
  <w:style w:type="character" w:styleId="FootnoteReference">
    <w:name w:val="footnote reference"/>
    <w:uiPriority w:val="99"/>
    <w:semiHidden/>
    <w:unhideWhenUsed/>
    <w:rsid w:val="005E60AE"/>
    <w:rPr>
      <w:vertAlign w:val="superscript"/>
    </w:rPr>
  </w:style>
  <w:style w:type="paragraph" w:styleId="ColorfulList-Accent1">
    <w:name w:val="Colorful List Accent 1"/>
    <w:basedOn w:val="Normal"/>
    <w:uiPriority w:val="34"/>
    <w:qFormat/>
    <w:rsid w:val="005A43AA"/>
    <w:pPr>
      <w:ind w:left="720"/>
      <w:contextualSpacing/>
    </w:pPr>
  </w:style>
  <w:style w:type="table" w:styleId="TableGrid">
    <w:name w:val="Table Grid"/>
    <w:basedOn w:val="TableNormal"/>
    <w:uiPriority w:val="59"/>
    <w:rsid w:val="00CE5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E60AE"/>
    <w:pPr>
      <w:spacing w:after="200"/>
    </w:pPr>
    <w:rPr>
      <w:rFonts w:ascii="Times New Roman" w:hAnsi="Times New Roman"/>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5E60AE"/>
    <w:rPr>
      <w:color w:val="0000FF"/>
      <w:u w:val="single"/>
    </w:rPr>
  </w:style>
  <w:style w:type="paragraph" w:styleId="FootnoteText">
    <w:name w:val="footnote text"/>
    <w:basedOn w:val="Normal"/>
    <w:link w:val="FootnoteTextChar"/>
    <w:uiPriority w:val="99"/>
    <w:semiHidden/>
    <w:unhideWhenUsed/>
    <w:rsid w:val="005E60AE"/>
    <w:pPr>
      <w:spacing w:after="0"/>
    </w:pPr>
  </w:style>
  <w:style w:type="character" w:customStyle="1" w:styleId="FootnoteTextChar">
    <w:name w:val="Footnote Text Char"/>
    <w:link w:val="FootnoteText"/>
    <w:uiPriority w:val="99"/>
    <w:semiHidden/>
    <w:rsid w:val="005E60AE"/>
    <w:rPr>
      <w:rFonts w:ascii="Times New Roman" w:hAnsi="Times New Roman"/>
      <w:sz w:val="24"/>
      <w:szCs w:val="24"/>
    </w:rPr>
  </w:style>
  <w:style w:type="character" w:styleId="FootnoteReference">
    <w:name w:val="footnote reference"/>
    <w:uiPriority w:val="99"/>
    <w:semiHidden/>
    <w:unhideWhenUsed/>
    <w:rsid w:val="005E60AE"/>
    <w:rPr>
      <w:vertAlign w:val="superscript"/>
    </w:rPr>
  </w:style>
  <w:style w:type="paragraph" w:styleId="ColorfulList-Accent1">
    <w:name w:val="Colorful List Accent 1"/>
    <w:basedOn w:val="Normal"/>
    <w:uiPriority w:val="34"/>
    <w:qFormat/>
    <w:rsid w:val="005A43AA"/>
    <w:pPr>
      <w:ind w:left="720"/>
      <w:contextualSpacing/>
    </w:pPr>
  </w:style>
  <w:style w:type="table" w:styleId="TableGrid">
    <w:name w:val="Table Grid"/>
    <w:basedOn w:val="TableNormal"/>
    <w:uiPriority w:val="59"/>
    <w:rsid w:val="00CE5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ssessment@ll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sessment@ll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lue@aacu.org" TargetMode="External"/><Relationship Id="rId5" Type="http://schemas.openxmlformats.org/officeDocument/2006/relationships/webSettings" Target="webSettings.xml"/><Relationship Id="rId10" Type="http://schemas.openxmlformats.org/officeDocument/2006/relationships/hyperlink" Target="http://www.ncte.org/cccc/resources/positions/123784.htm" TargetMode="External"/><Relationship Id="rId4" Type="http://schemas.openxmlformats.org/officeDocument/2006/relationships/settings" Target="settings.xml"/><Relationship Id="rId9" Type="http://schemas.openxmlformats.org/officeDocument/2006/relationships/hyperlink" Target="http://www.wpacouncil.org/whitepape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acu.org/value/metarubrics.cfm" TargetMode="External"/><Relationship Id="rId2" Type="http://schemas.openxmlformats.org/officeDocument/2006/relationships/hyperlink" Target="http://www.llu.edu/central/assessment/index.page" TargetMode="External"/><Relationship Id="rId1" Type="http://schemas.openxmlformats.org/officeDocument/2006/relationships/hyperlink" Target="http://www.aacu.org/value/metarubrics.cfm" TargetMode="External"/><Relationship Id="rId4" Type="http://schemas.openxmlformats.org/officeDocument/2006/relationships/hyperlink" Target="http://www.llu.edu/central/assessment/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10722</CharactersWithSpaces>
  <SharedDoc>false</SharedDoc>
  <HLinks>
    <vt:vector size="54" baseType="variant">
      <vt:variant>
        <vt:i4>6684727</vt:i4>
      </vt:variant>
      <vt:variant>
        <vt:i4>12</vt:i4>
      </vt:variant>
      <vt:variant>
        <vt:i4>0</vt:i4>
      </vt:variant>
      <vt:variant>
        <vt:i4>5</vt:i4>
      </vt:variant>
      <vt:variant>
        <vt:lpwstr>mailto:assessment@llu.edu</vt:lpwstr>
      </vt:variant>
      <vt:variant>
        <vt:lpwstr/>
      </vt:variant>
      <vt:variant>
        <vt:i4>4390914</vt:i4>
      </vt:variant>
      <vt:variant>
        <vt:i4>9</vt:i4>
      </vt:variant>
      <vt:variant>
        <vt:i4>0</vt:i4>
      </vt:variant>
      <vt:variant>
        <vt:i4>5</vt:i4>
      </vt:variant>
      <vt:variant>
        <vt:lpwstr>mailto:value@aacu.org</vt:lpwstr>
      </vt:variant>
      <vt:variant>
        <vt:lpwstr/>
      </vt:variant>
      <vt:variant>
        <vt:i4>2949209</vt:i4>
      </vt:variant>
      <vt:variant>
        <vt:i4>6</vt:i4>
      </vt:variant>
      <vt:variant>
        <vt:i4>0</vt:i4>
      </vt:variant>
      <vt:variant>
        <vt:i4>5</vt:i4>
      </vt:variant>
      <vt:variant>
        <vt:lpwstr>http://www.ncte.org/cccc/resources/positions/123784.htm</vt:lpwstr>
      </vt:variant>
      <vt:variant>
        <vt:lpwstr/>
      </vt:variant>
      <vt:variant>
        <vt:i4>4718670</vt:i4>
      </vt:variant>
      <vt:variant>
        <vt:i4>3</vt:i4>
      </vt:variant>
      <vt:variant>
        <vt:i4>0</vt:i4>
      </vt:variant>
      <vt:variant>
        <vt:i4>5</vt:i4>
      </vt:variant>
      <vt:variant>
        <vt:lpwstr>http://www.wpacouncil.org/whitepaper</vt:lpwstr>
      </vt:variant>
      <vt:variant>
        <vt:lpwstr/>
      </vt:variant>
      <vt:variant>
        <vt:i4>6684727</vt:i4>
      </vt:variant>
      <vt:variant>
        <vt:i4>0</vt:i4>
      </vt:variant>
      <vt:variant>
        <vt:i4>0</vt:i4>
      </vt:variant>
      <vt:variant>
        <vt:i4>5</vt:i4>
      </vt:variant>
      <vt:variant>
        <vt:lpwstr>mailto:assessment@llu.edu</vt:lpwstr>
      </vt:variant>
      <vt:variant>
        <vt:lpwstr/>
      </vt:variant>
      <vt:variant>
        <vt:i4>6094864</vt:i4>
      </vt:variant>
      <vt:variant>
        <vt:i4>9</vt:i4>
      </vt:variant>
      <vt:variant>
        <vt:i4>0</vt:i4>
      </vt:variant>
      <vt:variant>
        <vt:i4>5</vt:i4>
      </vt:variant>
      <vt:variant>
        <vt:lpwstr>http://www.llu.edu/central/assessment/index.page</vt:lpwstr>
      </vt:variant>
      <vt:variant>
        <vt:lpwstr/>
      </vt:variant>
      <vt:variant>
        <vt:i4>4784174</vt:i4>
      </vt:variant>
      <vt:variant>
        <vt:i4>6</vt:i4>
      </vt:variant>
      <vt:variant>
        <vt:i4>0</vt:i4>
      </vt:variant>
      <vt:variant>
        <vt:i4>5</vt:i4>
      </vt:variant>
      <vt:variant>
        <vt:lpwstr>http://www.aacu.org/value/metarubrics.cfm</vt:lpwstr>
      </vt:variant>
      <vt:variant>
        <vt:lpwstr/>
      </vt:variant>
      <vt:variant>
        <vt:i4>6094864</vt:i4>
      </vt:variant>
      <vt:variant>
        <vt:i4>3</vt:i4>
      </vt:variant>
      <vt:variant>
        <vt:i4>0</vt:i4>
      </vt:variant>
      <vt:variant>
        <vt:i4>5</vt:i4>
      </vt:variant>
      <vt:variant>
        <vt:lpwstr>http://www.llu.edu/central/assessment/index.page</vt:lpwstr>
      </vt:variant>
      <vt:variant>
        <vt:lpwstr/>
      </vt:variant>
      <vt:variant>
        <vt:i4>4784174</vt:i4>
      </vt:variant>
      <vt:variant>
        <vt:i4>0</vt:i4>
      </vt:variant>
      <vt:variant>
        <vt:i4>0</vt:i4>
      </vt:variant>
      <vt:variant>
        <vt:i4>5</vt:i4>
      </vt:variant>
      <vt:variant>
        <vt:lpwstr>http://www.aacu.org/value/metarubrics.cfm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Eggers Marilyn</dc:creator>
  <cp:lastModifiedBy>Chavez, Vivian</cp:lastModifiedBy>
  <cp:revision>2</cp:revision>
  <cp:lastPrinted>2009-11-13T22:55:00Z</cp:lastPrinted>
  <dcterms:created xsi:type="dcterms:W3CDTF">2016-04-14T18:09:00Z</dcterms:created>
  <dcterms:modified xsi:type="dcterms:W3CDTF">2016-04-14T18:09:00Z</dcterms:modified>
</cp:coreProperties>
</file>